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pageBreakBefore w:val="0"/>
      </w:pPr>
      <w:r>
        <w:rPr>
          <w:rFonts w:ascii="Cambria" w:hAnsi="Cambria"/>
          <w:b/>
          <w:i w:val="0"/>
          <w:color w:val="000000"/>
          <w:sz w:val="39"/>
        </w:rPr>
        <w:t>Client Services Agreement</w:t>
      </w:r>
    </w:p>
    <w:p>
      <w:pPr>
        <w:spacing w:before="0" w:after="140" w:line="259" w:lineRule="auto"/>
      </w:pPr>
      <w:r>
        <w:rPr>
          <w:rFonts w:ascii="Cambria" w:hAnsi="Cambria"/>
          <w:b/>
          <w:i w:val="0"/>
          <w:color w:val="000000"/>
          <w:sz w:val="20"/>
        </w:rPr>
        <w:t>12 month service term</w:t>
      </w:r>
    </w:p>
    <w:p>
      <w:pPr>
        <w:spacing w:before="0" w:after="80" w:line="259" w:lineRule="auto"/>
      </w:pPr>
      <w:r>
        <w:rPr>
          <w:rFonts w:ascii="Cambria" w:hAnsi="Cambria"/>
          <w:b/>
          <w:i w:val="0"/>
          <w:color w:val="242A2F"/>
          <w:sz w:val="20"/>
        </w:rPr>
        <w:t>Complete all client-specific fields and select one package. The 100 day guarantee applies only to Discovery &amp; Intake, Growth, or Competitive Growth. Market Ownership and Executive are excluded.</w:t>
      </w:r>
    </w:p>
    <w:p>
      <w:pPr>
        <w:spacing w:before="0" w:after="100" w:line="259" w:lineRule="auto"/>
      </w:pPr>
      <w:r>
        <w:rPr>
          <w:rFonts w:ascii="Cambria" w:hAnsi="Cambria"/>
          <w:b w:val="0"/>
          <w:i w:val="0"/>
          <w:color w:val="242A2F"/>
          <w:sz w:val="20"/>
        </w:rPr>
        <w:t>This Agreement is between [Provider legal name] trading as Strata Modus (Provider) and the Client identified below. It records the selected services, fixed calendar-month term, fees, operating terms, and the signed opportunity measurement schedule.</w:t>
      </w:r>
    </w:p>
    <w:p>
      <w:pPr>
        <w:pStyle w:val="Heading1"/>
        <w:keepNext/>
      </w:pPr>
      <w:r>
        <w:rPr>
          <w:rFonts w:ascii="Arial" w:hAnsi="Arial"/>
          <w:b/>
          <w:i w:val="0"/>
          <w:color w:val="000000"/>
          <w:sz w:val="24"/>
        </w:rPr>
        <w:t>Parties and service dates</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1757"/>
        <w:gridCol w:w="3269"/>
        <w:gridCol w:w="1786"/>
        <w:gridCol w:w="3240"/>
      </w:tblGrid>
      <w:tr>
        <w:trPr>
          <w:cantSplit/>
        </w:trPr>
        <w:tc>
          <w:tcPr>
            <w:tcW w:type="dxa" w:w="1757"/>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Provider legal name</w:t>
            </w:r>
          </w:p>
        </w:tc>
        <w:tc>
          <w:tcPr>
            <w:tcW w:type="dxa" w:w="3269"/>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[Provider legal name] trading as Strata Modus</w:t>
            </w:r>
          </w:p>
        </w:tc>
        <w:tc>
          <w:tcPr>
            <w:tcW w:type="dxa" w:w="178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Client legal name</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full legal name]</w:t>
            </w:r>
          </w:p>
        </w:tc>
      </w:tr>
      <w:tr>
        <w:trPr>
          <w:cantSplit/>
        </w:trPr>
        <w:tc>
          <w:tcPr>
            <w:tcW w:type="dxa" w:w="1757"/>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Provider notice contact</w:t>
            </w:r>
          </w:p>
        </w:tc>
        <w:tc>
          <w:tcPr>
            <w:tcW w:type="dxa" w:w="3269"/>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[Name and notice email]</w:t>
            </w:r>
          </w:p>
        </w:tc>
        <w:tc>
          <w:tcPr>
            <w:tcW w:type="dxa" w:w="178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Client notice contact</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[Name and notice email]</w:t>
            </w:r>
          </w:p>
        </w:tc>
      </w:tr>
      <w:tr>
        <w:trPr>
          <w:cantSplit/>
        </w:trPr>
        <w:tc>
          <w:tcPr>
            <w:tcW w:type="dxa" w:w="1757"/>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Client business</w:t>
            </w:r>
          </w:p>
        </w:tc>
        <w:tc>
          <w:tcPr>
            <w:tcW w:type="dxa" w:w="3269"/>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business name]</w:t>
            </w:r>
          </w:p>
        </w:tc>
        <w:tc>
          <w:tcPr>
            <w:tcW w:type="dxa" w:w="178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Primary website</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website]</w:t>
            </w:r>
          </w:p>
        </w:tc>
      </w:tr>
      <w:tr>
        <w:trPr>
          <w:cantSplit/>
        </w:trPr>
        <w:tc>
          <w:tcPr>
            <w:tcW w:type="dxa" w:w="1757"/>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Effective date</w:t>
            </w:r>
          </w:p>
        </w:tc>
        <w:tc>
          <w:tcPr>
            <w:tcW w:type="dxa" w:w="3269"/>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actual date]</w:t>
            </w:r>
          </w:p>
        </w:tc>
        <w:tc>
          <w:tcPr>
            <w:tcW w:type="dxa" w:w="178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Service start</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actual calendar date]</w:t>
            </w:r>
          </w:p>
        </w:tc>
      </w:tr>
      <w:tr>
        <w:trPr>
          <w:cantSplit/>
        </w:trPr>
        <w:tc>
          <w:tcPr>
            <w:tcW w:type="dxa" w:w="1757"/>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Term end date</w:t>
            </w:r>
          </w:p>
        </w:tc>
        <w:tc>
          <w:tcPr>
            <w:tcW w:type="dxa" w:w="3269"/>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actual calendar date]</w:t>
            </w:r>
          </w:p>
        </w:tc>
        <w:tc>
          <w:tcPr>
            <w:tcW w:type="dxa" w:w="178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Initial term</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12 consecutive calendar months</w:t>
            </w:r>
          </w:p>
        </w:tc>
      </w:tr>
    </w:tbl>
    <w:p>
      <w:pPr>
        <w:pStyle w:val="Heading1"/>
        <w:keepNext/>
      </w:pPr>
      <w:r>
        <w:rPr>
          <w:rFonts w:ascii="Arial" w:hAnsi="Arial"/>
          <w:b/>
          <w:i w:val="0"/>
          <w:color w:val="000000"/>
          <w:sz w:val="24"/>
        </w:rPr>
        <w:t>Select one package</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936"/>
        <w:gridCol w:w="3672"/>
        <w:gridCol w:w="5443"/>
      </w:tblGrid>
      <w:tr>
        <w:trPr>
          <w:cantSplit/>
          <w:tblHeader w:val="true"/>
        </w:trPr>
        <w:tc>
          <w:tcPr>
            <w:tcW w:type="dxa" w:w="936"/>
            <w:tcMar>
              <w:top w:w="85" w:type="dxa"/>
              <w:start w:w="100" w:type="dxa"/>
              <w:bottom w:w="85" w:type="dxa"/>
              <w:end w:w="100" w:type="dxa"/>
            </w:tcMar>
            <w:vAlign w:val="center"/>
            <w:shd w:fill="18364D" w:val="clear"/>
          </w:tcPr>
          <w:p>
            <w:pPr>
              <w:spacing w:before="0" w:after="0" w:line="250" w:lineRule="auto"/>
              <w:jc w:val="center"/>
            </w:pPr>
            <w:r/>
            <w:r>
              <w:rPr>
                <w:rFonts w:ascii="Cambria" w:hAnsi="Cambria"/>
                <w:b/>
                <w:i w:val="0"/>
                <w:color w:val="FFFFFF"/>
                <w:sz w:val="19"/>
              </w:rPr>
              <w:t>Select</w:t>
            </w:r>
          </w:p>
        </w:tc>
        <w:tc>
          <w:tcPr>
            <w:tcW w:type="dxa" w:w="3672"/>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Package</w:t>
            </w:r>
          </w:p>
        </w:tc>
        <w:tc>
          <w:tcPr>
            <w:tcW w:type="dxa" w:w="5443"/>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100-day guarantee</w:t>
            </w:r>
          </w:p>
        </w:tc>
      </w:tr>
      <w:tr>
        <w:trPr>
          <w:cantSplit/>
        </w:trPr>
        <w:tc>
          <w:tcPr>
            <w:tcW w:type="dxa" w:w="936"/>
            <w:tcMar>
              <w:top w:w="85" w:type="dxa"/>
              <w:start w:w="100" w:type="dxa"/>
              <w:bottom w:w="85" w:type="dxa"/>
              <w:end w:w="100" w:type="dxa"/>
            </w:tcMar>
            <w:vAlign w:val="center"/>
            <w:shd w:fill="FBF8EF" w:val="clear"/>
          </w:tcPr>
          <w:p>
            <w:pPr>
              <w:spacing w:before="0" w:after="0" w:line="250" w:lineRule="auto"/>
              <w:jc w:val="center"/>
            </w:pPr>
            <w:r/>
            <w:r>
              <w:rPr>
                <w:rFonts w:ascii="Cambria" w:hAnsi="Cambria"/>
                <w:b/>
                <w:i w:val="0"/>
                <w:color w:val="18364D"/>
                <w:sz w:val="20"/>
              </w:rPr>
              <w:t>[  ]</w:t>
            </w:r>
          </w:p>
        </w:tc>
        <w:tc>
          <w:tcPr>
            <w:tcW w:type="dxa" w:w="3672"/>
            <w:tcMar>
              <w:top w:w="85" w:type="dxa"/>
              <w:start w:w="100" w:type="dxa"/>
              <w:bottom w:w="85" w:type="dxa"/>
              <w:end w:w="100" w:type="dxa"/>
            </w:tcMar>
            <w:vAlign w:val="center"/>
          </w:tcPr>
          <w:p>
            <w:pPr>
              <w:spacing w:before="0" w:after="0" w:line="250" w:lineRule="auto"/>
            </w:pPr>
            <w:r/>
            <w:r>
              <w:rPr>
                <w:rFonts w:ascii="Cambria" w:hAnsi="Cambria"/>
                <w:b/>
                <w:i w:val="0"/>
                <w:color w:val="242A2F"/>
                <w:sz w:val="19"/>
              </w:rPr>
              <w:t>Discovery &amp; Intake</w:t>
            </w:r>
          </w:p>
        </w:tc>
        <w:tc>
          <w:tcPr>
            <w:tcW w:type="dxa" w:w="5443"/>
            <w:tcMar>
              <w:top w:w="85" w:type="dxa"/>
              <w:start w:w="100" w:type="dxa"/>
              <w:bottom w:w="85" w:type="dxa"/>
              <w:end w:w="100" w:type="dxa"/>
            </w:tcMar>
            <w:vAlign w:val="center"/>
          </w:tcPr>
          <w:p>
            <w:pPr>
              <w:spacing w:before="0" w:after="0" w:line="250" w:lineRule="auto"/>
            </w:pPr>
            <w:r/>
            <w:r>
              <w:rPr>
                <w:rFonts w:ascii="Cambria" w:hAnsi="Cambria"/>
                <w:b/>
                <w:i w:val="0"/>
                <w:color w:val="18364D"/>
                <w:sz w:val="19"/>
              </w:rPr>
              <w:t>Included</w:t>
            </w:r>
          </w:p>
        </w:tc>
      </w:tr>
      <w:tr>
        <w:trPr>
          <w:cantSplit/>
        </w:trPr>
        <w:tc>
          <w:tcPr>
            <w:tcW w:type="dxa" w:w="936"/>
            <w:tcMar>
              <w:top w:w="85" w:type="dxa"/>
              <w:start w:w="100" w:type="dxa"/>
              <w:bottom w:w="85" w:type="dxa"/>
              <w:end w:w="100" w:type="dxa"/>
            </w:tcMar>
            <w:vAlign w:val="center"/>
            <w:shd w:fill="FBF8EF" w:val="clear"/>
          </w:tcPr>
          <w:p>
            <w:pPr>
              <w:spacing w:before="0" w:after="0" w:line="250" w:lineRule="auto"/>
              <w:jc w:val="center"/>
            </w:pPr>
            <w:r/>
            <w:r>
              <w:rPr>
                <w:rFonts w:ascii="Cambria" w:hAnsi="Cambria"/>
                <w:b/>
                <w:i w:val="0"/>
                <w:color w:val="18364D"/>
                <w:sz w:val="20"/>
              </w:rPr>
              <w:t>[  ]</w:t>
            </w:r>
          </w:p>
        </w:tc>
        <w:tc>
          <w:tcPr>
            <w:tcW w:type="dxa" w:w="3672"/>
            <w:tcMar>
              <w:top w:w="85" w:type="dxa"/>
              <w:start w:w="100" w:type="dxa"/>
              <w:bottom w:w="85" w:type="dxa"/>
              <w:end w:w="100" w:type="dxa"/>
            </w:tcMar>
            <w:vAlign w:val="center"/>
          </w:tcPr>
          <w:p>
            <w:pPr>
              <w:spacing w:before="0" w:after="0" w:line="250" w:lineRule="auto"/>
            </w:pPr>
            <w:r/>
            <w:r>
              <w:rPr>
                <w:rFonts w:ascii="Cambria" w:hAnsi="Cambria"/>
                <w:b/>
                <w:i w:val="0"/>
                <w:color w:val="242A2F"/>
                <w:sz w:val="19"/>
              </w:rPr>
              <w:t>Growth</w:t>
            </w:r>
          </w:p>
        </w:tc>
        <w:tc>
          <w:tcPr>
            <w:tcW w:type="dxa" w:w="5443"/>
            <w:tcMar>
              <w:top w:w="85" w:type="dxa"/>
              <w:start w:w="100" w:type="dxa"/>
              <w:bottom w:w="85" w:type="dxa"/>
              <w:end w:w="100" w:type="dxa"/>
            </w:tcMar>
            <w:vAlign w:val="center"/>
          </w:tcPr>
          <w:p>
            <w:pPr>
              <w:spacing w:before="0" w:after="0" w:line="250" w:lineRule="auto"/>
            </w:pPr>
            <w:r/>
            <w:r>
              <w:rPr>
                <w:rFonts w:ascii="Cambria" w:hAnsi="Cambria"/>
                <w:b/>
                <w:i w:val="0"/>
                <w:color w:val="18364D"/>
                <w:sz w:val="19"/>
              </w:rPr>
              <w:t>Included</w:t>
            </w:r>
          </w:p>
        </w:tc>
      </w:tr>
      <w:tr>
        <w:trPr>
          <w:cantSplit/>
        </w:trPr>
        <w:tc>
          <w:tcPr>
            <w:tcW w:type="dxa" w:w="936"/>
            <w:tcMar>
              <w:top w:w="85" w:type="dxa"/>
              <w:start w:w="100" w:type="dxa"/>
              <w:bottom w:w="85" w:type="dxa"/>
              <w:end w:w="100" w:type="dxa"/>
            </w:tcMar>
            <w:vAlign w:val="center"/>
            <w:shd w:fill="FBF8EF" w:val="clear"/>
          </w:tcPr>
          <w:p>
            <w:pPr>
              <w:spacing w:before="0" w:after="0" w:line="250" w:lineRule="auto"/>
              <w:jc w:val="center"/>
            </w:pPr>
            <w:r/>
            <w:r>
              <w:rPr>
                <w:rFonts w:ascii="Cambria" w:hAnsi="Cambria"/>
                <w:b/>
                <w:i w:val="0"/>
                <w:color w:val="18364D"/>
                <w:sz w:val="20"/>
              </w:rPr>
              <w:t>[  ]</w:t>
            </w:r>
          </w:p>
        </w:tc>
        <w:tc>
          <w:tcPr>
            <w:tcW w:type="dxa" w:w="3672"/>
            <w:tcMar>
              <w:top w:w="85" w:type="dxa"/>
              <w:start w:w="100" w:type="dxa"/>
              <w:bottom w:w="85" w:type="dxa"/>
              <w:end w:w="100" w:type="dxa"/>
            </w:tcMar>
            <w:vAlign w:val="center"/>
          </w:tcPr>
          <w:p>
            <w:pPr>
              <w:spacing w:before="0" w:after="0" w:line="250" w:lineRule="auto"/>
            </w:pPr>
            <w:r/>
            <w:r>
              <w:rPr>
                <w:rFonts w:ascii="Cambria" w:hAnsi="Cambria"/>
                <w:b/>
                <w:i w:val="0"/>
                <w:color w:val="242A2F"/>
                <w:sz w:val="19"/>
              </w:rPr>
              <w:t>Competitive Growth</w:t>
            </w:r>
          </w:p>
        </w:tc>
        <w:tc>
          <w:tcPr>
            <w:tcW w:type="dxa" w:w="5443"/>
            <w:tcMar>
              <w:top w:w="85" w:type="dxa"/>
              <w:start w:w="100" w:type="dxa"/>
              <w:bottom w:w="85" w:type="dxa"/>
              <w:end w:w="100" w:type="dxa"/>
            </w:tcMar>
            <w:vAlign w:val="center"/>
          </w:tcPr>
          <w:p>
            <w:pPr>
              <w:spacing w:before="0" w:after="0" w:line="250" w:lineRule="auto"/>
            </w:pPr>
            <w:r/>
            <w:r>
              <w:rPr>
                <w:rFonts w:ascii="Cambria" w:hAnsi="Cambria"/>
                <w:b/>
                <w:i w:val="0"/>
                <w:color w:val="18364D"/>
                <w:sz w:val="19"/>
              </w:rPr>
              <w:t>Included</w:t>
            </w:r>
          </w:p>
        </w:tc>
      </w:tr>
      <w:tr>
        <w:trPr>
          <w:cantSplit/>
        </w:trPr>
        <w:tc>
          <w:tcPr>
            <w:tcW w:type="dxa" w:w="936"/>
            <w:tcMar>
              <w:top w:w="85" w:type="dxa"/>
              <w:start w:w="100" w:type="dxa"/>
              <w:bottom w:w="85" w:type="dxa"/>
              <w:end w:w="100" w:type="dxa"/>
            </w:tcMar>
            <w:vAlign w:val="center"/>
            <w:shd w:fill="FBF8EF" w:val="clear"/>
          </w:tcPr>
          <w:p>
            <w:pPr>
              <w:spacing w:before="0" w:after="0" w:line="250" w:lineRule="auto"/>
              <w:jc w:val="center"/>
            </w:pPr>
            <w:r/>
            <w:r>
              <w:rPr>
                <w:rFonts w:ascii="Cambria" w:hAnsi="Cambria"/>
                <w:b/>
                <w:i w:val="0"/>
                <w:color w:val="18364D"/>
                <w:sz w:val="20"/>
              </w:rPr>
              <w:t>[  ]</w:t>
            </w:r>
          </w:p>
        </w:tc>
        <w:tc>
          <w:tcPr>
            <w:tcW w:type="dxa" w:w="3672"/>
            <w:tcMar>
              <w:top w:w="85" w:type="dxa"/>
              <w:start w:w="100" w:type="dxa"/>
              <w:bottom w:w="85" w:type="dxa"/>
              <w:end w:w="100" w:type="dxa"/>
            </w:tcMar>
            <w:vAlign w:val="center"/>
          </w:tcPr>
          <w:p>
            <w:pPr>
              <w:spacing w:before="0" w:after="0" w:line="250" w:lineRule="auto"/>
            </w:pPr>
            <w:r/>
            <w:r>
              <w:rPr>
                <w:rFonts w:ascii="Cambria" w:hAnsi="Cambria"/>
                <w:b/>
                <w:i w:val="0"/>
                <w:color w:val="242A2F"/>
                <w:sz w:val="19"/>
              </w:rPr>
              <w:t>Market Ownership</w:t>
            </w:r>
          </w:p>
        </w:tc>
        <w:tc>
          <w:tcPr>
            <w:tcW w:type="dxa" w:w="5443"/>
            <w:tcMar>
              <w:top w:w="85" w:type="dxa"/>
              <w:start w:w="100" w:type="dxa"/>
              <w:bottom w:w="85" w:type="dxa"/>
              <w:end w:w="100" w:type="dxa"/>
            </w:tcMar>
            <w:vAlign w:val="center"/>
          </w:tcPr>
          <w:p>
            <w:pPr>
              <w:spacing w:before="0" w:after="0" w:line="250" w:lineRule="auto"/>
            </w:pPr>
            <w:r/>
            <w:r>
              <w:rPr>
                <w:rFonts w:ascii="Cambria" w:hAnsi="Cambria"/>
                <w:b/>
                <w:i w:val="0"/>
                <w:color w:val="56636E"/>
                <w:sz w:val="19"/>
              </w:rPr>
              <w:t>Not included</w:t>
            </w:r>
          </w:p>
        </w:tc>
      </w:tr>
      <w:tr>
        <w:trPr>
          <w:cantSplit/>
        </w:trPr>
        <w:tc>
          <w:tcPr>
            <w:tcW w:type="dxa" w:w="936"/>
            <w:tcMar>
              <w:top w:w="85" w:type="dxa"/>
              <w:start w:w="100" w:type="dxa"/>
              <w:bottom w:w="85" w:type="dxa"/>
              <w:end w:w="100" w:type="dxa"/>
            </w:tcMar>
            <w:vAlign w:val="center"/>
            <w:shd w:fill="FBF8EF" w:val="clear"/>
          </w:tcPr>
          <w:p>
            <w:pPr>
              <w:spacing w:before="0" w:after="0" w:line="250" w:lineRule="auto"/>
              <w:jc w:val="center"/>
            </w:pPr>
            <w:r/>
            <w:r>
              <w:rPr>
                <w:rFonts w:ascii="Cambria" w:hAnsi="Cambria"/>
                <w:b/>
                <w:i w:val="0"/>
                <w:color w:val="18364D"/>
                <w:sz w:val="20"/>
              </w:rPr>
              <w:t>[  ]</w:t>
            </w:r>
          </w:p>
        </w:tc>
        <w:tc>
          <w:tcPr>
            <w:tcW w:type="dxa" w:w="3672"/>
            <w:tcMar>
              <w:top w:w="85" w:type="dxa"/>
              <w:start w:w="100" w:type="dxa"/>
              <w:bottom w:w="85" w:type="dxa"/>
              <w:end w:w="100" w:type="dxa"/>
            </w:tcMar>
            <w:vAlign w:val="center"/>
          </w:tcPr>
          <w:p>
            <w:pPr>
              <w:spacing w:before="0" w:after="0" w:line="250" w:lineRule="auto"/>
            </w:pPr>
            <w:r/>
            <w:r>
              <w:rPr>
                <w:rFonts w:ascii="Cambria" w:hAnsi="Cambria"/>
                <w:b/>
                <w:i w:val="0"/>
                <w:color w:val="242A2F"/>
                <w:sz w:val="19"/>
              </w:rPr>
              <w:t>Executive</w:t>
            </w:r>
          </w:p>
        </w:tc>
        <w:tc>
          <w:tcPr>
            <w:tcW w:type="dxa" w:w="5443"/>
            <w:tcMar>
              <w:top w:w="85" w:type="dxa"/>
              <w:start w:w="100" w:type="dxa"/>
              <w:bottom w:w="85" w:type="dxa"/>
              <w:end w:w="100" w:type="dxa"/>
            </w:tcMar>
            <w:vAlign w:val="center"/>
          </w:tcPr>
          <w:p>
            <w:pPr>
              <w:spacing w:before="0" w:after="0" w:line="250" w:lineRule="auto"/>
            </w:pPr>
            <w:r/>
            <w:r>
              <w:rPr>
                <w:rFonts w:ascii="Cambria" w:hAnsi="Cambria"/>
                <w:b/>
                <w:i w:val="0"/>
                <w:color w:val="56636E"/>
                <w:sz w:val="19"/>
              </w:rPr>
              <w:t>Not included</w:t>
            </w:r>
          </w:p>
        </w:tc>
      </w:tr>
    </w:tbl>
    <w:p>
      <w:pPr>
        <w:pStyle w:val="Heading1"/>
        <w:keepNext/>
      </w:pPr>
      <w:r>
        <w:rPr>
          <w:rFonts w:ascii="Arial" w:hAnsi="Arial"/>
          <w:b/>
          <w:i w:val="0"/>
          <w:color w:val="000000"/>
          <w:sz w:val="24"/>
        </w:rPr>
        <w:t>Agreed services and priorities</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3139"/>
        <w:gridCol w:w="6912"/>
      </w:tblGrid>
      <w:tr>
        <w:trPr>
          <w:cantSplit/>
        </w:trPr>
        <w:tc>
          <w:tcPr>
            <w:tcW w:type="dxa" w:w="3139"/>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Included services and deliverables</w:t>
            </w:r>
          </w:p>
        </w:tc>
        <w:tc>
          <w:tcPr>
            <w:tcW w:type="dxa" w:w="6912"/>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[List the selected package services and specific deliverables]</w:t>
            </w:r>
          </w:p>
        </w:tc>
      </w:tr>
      <w:tr>
        <w:trPr>
          <w:cantSplit/>
        </w:trPr>
        <w:tc>
          <w:tcPr>
            <w:tcW w:type="dxa" w:w="3139"/>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Managed channels and accounts</w:t>
            </w:r>
          </w:p>
        </w:tc>
        <w:tc>
          <w:tcPr>
            <w:tcW w:type="dxa" w:w="6912"/>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[Name each managed channel and account in scope]</w:t>
            </w:r>
          </w:p>
        </w:tc>
      </w:tr>
      <w:tr>
        <w:trPr>
          <w:cantSplit/>
        </w:trPr>
        <w:tc>
          <w:tcPr>
            <w:tcW w:type="dxa" w:w="3139"/>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Objective and service priorities</w:t>
            </w:r>
          </w:p>
        </w:tc>
        <w:tc>
          <w:tcPr>
            <w:tcW w:type="dxa" w:w="6912"/>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[State the primary objective, priority, and key target dates]</w:t>
            </w:r>
          </w:p>
        </w:tc>
      </w:tr>
      <w:tr>
        <w:trPr>
          <w:cantSplit/>
        </w:trPr>
        <w:tc>
          <w:tcPr>
            <w:tcW w:type="dxa" w:w="3139"/>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Client inputs and contact</w:t>
            </w:r>
          </w:p>
        </w:tc>
        <w:tc>
          <w:tcPr>
            <w:tcW w:type="dxa" w:w="6912"/>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[List required access, approvals, materials, and day-to-day contact]</w:t>
            </w:r>
          </w:p>
        </w:tc>
      </w:tr>
      <w:tr>
        <w:trPr>
          <w:cantSplit/>
        </w:trPr>
        <w:tc>
          <w:tcPr>
            <w:tcW w:type="dxa" w:w="3139"/>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Deliverable rights and access</w:t>
            </w:r>
          </w:p>
        </w:tc>
        <w:tc>
          <w:tcPr>
            <w:tcW w:type="dxa" w:w="6912"/>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[For each new deliverable, state ownership/license, use rights, access, and handover]</w:t>
            </w:r>
          </w:p>
        </w:tc>
      </w:tr>
    </w:tbl>
    <w:p>
      <w:pPr>
        <w:spacing w:before="0" w:after="20" w:line="259" w:lineRule="auto"/>
      </w:pPr>
      <w:r>
        <w:rPr>
          <w:rFonts w:ascii="Cambria" w:hAnsi="Cambria"/>
          <w:b w:val="0"/>
          <w:i w:val="0"/>
          <w:color w:val="242A2F"/>
          <w:sz w:val="19"/>
        </w:rPr>
        <w:t>Only written services and channels are included. Discovery &amp; Intake covers only its agreed search and intake scope. Paid campaign management starts with Growth. Additional custom work must be separately agreed in writing and does not expand the guarantee.</w:t>
      </w:r>
    </w:p>
    <w:p>
      <w:pPr>
        <w:spacing w:before="0" w:after="20" w:line="259" w:lineRule="auto"/>
      </w:pPr>
      <w:r>
        <w:rPr>
          <w:rFonts w:ascii="Cambria" w:hAnsi="Cambria"/>
          <w:b w:val="0"/>
          <w:i w:val="0"/>
          <w:color w:val="242A2F"/>
          <w:sz w:val="19"/>
        </w:rPr>
        <w:t>Setup and launch. Provider targets setup within the first 20 days of the initial term. The parties confirm the actual go-live date in writing when required access, tracking, and the signed measurement schedule are ready. The 100 live campaign-day count begins then; only days when the agreed campaign is live and tracking is functional count.</w:t>
      </w:r>
    </w:p>
    <w:p>
      <w:pPr>
        <w:pStyle w:val="Title"/>
        <w:keepNext/>
        <w:pageBreakBefore/>
      </w:pPr>
      <w:r>
        <w:rPr>
          <w:rFonts w:ascii="Cambria" w:hAnsi="Cambria"/>
          <w:b/>
          <w:i w:val="0"/>
          <w:color w:val="000000"/>
          <w:sz w:val="39"/>
        </w:rPr>
        <w:t>Commercial Schedule</w:t>
      </w:r>
    </w:p>
    <w:p>
      <w:pPr>
        <w:spacing w:before="0" w:after="140" w:line="259" w:lineRule="auto"/>
      </w:pPr>
      <w:r>
        <w:rPr>
          <w:rFonts w:ascii="Cambria" w:hAnsi="Cambria"/>
          <w:b/>
          <w:i w:val="0"/>
          <w:color w:val="000000"/>
          <w:sz w:val="20"/>
        </w:rPr>
        <w:t>Monthly Fees Invoices and Dates for the 12 month Term</w:t>
      </w:r>
    </w:p>
    <w:p>
      <w:pPr>
        <w:pStyle w:val="Heading1"/>
        <w:keepNext/>
      </w:pPr>
      <w:r>
        <w:rPr>
          <w:rFonts w:ascii="Arial" w:hAnsi="Arial"/>
          <w:b/>
          <w:i w:val="0"/>
          <w:color w:val="000000"/>
          <w:sz w:val="24"/>
        </w:rPr>
        <w:t>Published rates and this term's service fees</w:t>
      </w:r>
    </w:p>
    <w:p>
      <w:pPr>
        <w:spacing w:before="0" w:after="80" w:line="259" w:lineRule="auto"/>
      </w:pPr>
      <w:r>
        <w:rPr>
          <w:rFonts w:ascii="Cambria" w:hAnsi="Cambria"/>
          <w:b w:val="0"/>
          <w:i w:val="0"/>
          <w:color w:val="242A2F"/>
          <w:sz w:val="20"/>
        </w:rPr>
        <w:t>Select the same package checked on page 1. The term adjustment applies to the published monthly service fee. The initial term total is the discounted monthly fee multiplied by the number of calendar months.</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2059"/>
        <w:gridCol w:w="1642"/>
        <w:gridCol w:w="1440"/>
        <w:gridCol w:w="1670"/>
        <w:gridCol w:w="3240"/>
      </w:tblGrid>
      <w:tr>
        <w:trPr>
          <w:cantSplit/>
          <w:tblHeader w:val="true"/>
        </w:trPr>
        <w:tc>
          <w:tcPr>
            <w:tcW w:type="dxa" w:w="2059"/>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Package</w:t>
            </w:r>
          </w:p>
        </w:tc>
        <w:tc>
          <w:tcPr>
            <w:tcW w:type="dxa" w:w="1642"/>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Published monthly</w:t>
            </w:r>
          </w:p>
        </w:tc>
        <w:tc>
          <w:tcPr>
            <w:tcW w:type="dxa" w:w="1440"/>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Term adjustment</w:t>
            </w:r>
          </w:p>
        </w:tc>
        <w:tc>
          <w:tcPr>
            <w:tcW w:type="dxa" w:w="1670"/>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Discounted monthly</w:t>
            </w:r>
          </w:p>
        </w:tc>
        <w:tc>
          <w:tcPr>
            <w:tcW w:type="dxa" w:w="3240"/>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Initial term total</w:t>
            </w:r>
          </w:p>
        </w:tc>
      </w:tr>
      <w:tr>
        <w:trPr>
          <w:cantSplit/>
        </w:trPr>
        <w:tc>
          <w:tcPr>
            <w:tcW w:type="dxa" w:w="2059"/>
            <w:tcMar>
              <w:top w:w="85" w:type="dxa"/>
              <w:start w:w="100" w:type="dxa"/>
              <w:bottom w:w="85" w:type="dxa"/>
              <w:end w:w="100" w:type="dxa"/>
            </w:tcMar>
            <w:vAlign w:val="center"/>
          </w:tcPr>
          <w:p>
            <w:pPr>
              <w:spacing w:before="0" w:after="0" w:line="250" w:lineRule="auto"/>
            </w:pPr>
            <w:r/>
            <w:r>
              <w:rPr>
                <w:rFonts w:ascii="Cambria" w:hAnsi="Cambria"/>
                <w:b/>
                <w:i w:val="0"/>
                <w:color w:val="242A2F"/>
                <w:sz w:val="19"/>
              </w:rPr>
              <w:t>Discovery &amp; Intake</w:t>
            </w:r>
          </w:p>
        </w:tc>
        <w:tc>
          <w:tcPr>
            <w:tcW w:type="dxa" w:w="1642"/>
            <w:tcMar>
              <w:top w:w="85" w:type="dxa"/>
              <w:start w:w="100" w:type="dxa"/>
              <w:bottom w:w="85" w:type="dxa"/>
              <w:end w:w="100" w:type="dxa"/>
            </w:tcMar>
            <w:vAlign w:val="center"/>
          </w:tcPr>
          <w:p>
            <w:pPr>
              <w:spacing w:before="0" w:after="0" w:line="250" w:lineRule="auto"/>
            </w:pPr>
            <w:r/>
            <w:r>
              <w:rPr>
                <w:rFonts w:ascii="Cambria" w:hAnsi="Cambria"/>
                <w:b w:val="0"/>
                <w:i w:val="0"/>
                <w:color w:val="242A2F"/>
                <w:sz w:val="19"/>
              </w:rPr>
              <w:t>$1,999.00</w:t>
            </w:r>
          </w:p>
        </w:tc>
        <w:tc>
          <w:tcPr>
            <w:tcW w:type="dxa" w:w="1440"/>
            <w:tcMar>
              <w:top w:w="85" w:type="dxa"/>
              <w:start w:w="100" w:type="dxa"/>
              <w:bottom w:w="85" w:type="dxa"/>
              <w:end w:w="100" w:type="dxa"/>
            </w:tcMar>
            <w:vAlign w:val="center"/>
          </w:tcPr>
          <w:p>
            <w:pPr>
              <w:spacing w:before="0" w:after="0" w:line="250" w:lineRule="auto"/>
            </w:pPr>
            <w:r/>
            <w:r>
              <w:rPr>
                <w:rFonts w:ascii="Cambria" w:hAnsi="Cambria"/>
                <w:b w:val="0"/>
                <w:i w:val="0"/>
                <w:color w:val="242A2F"/>
                <w:sz w:val="19"/>
              </w:rPr>
              <w:t>15% off</w:t>
            </w:r>
          </w:p>
        </w:tc>
        <w:tc>
          <w:tcPr>
            <w:tcW w:type="dxa" w:w="167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$1,699.15</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$20,389.80</w:t>
            </w:r>
          </w:p>
        </w:tc>
      </w:tr>
      <w:tr>
        <w:trPr>
          <w:cantSplit/>
        </w:trPr>
        <w:tc>
          <w:tcPr>
            <w:tcW w:type="dxa" w:w="2059"/>
            <w:tcMar>
              <w:top w:w="85" w:type="dxa"/>
              <w:start w:w="100" w:type="dxa"/>
              <w:bottom w:w="85" w:type="dxa"/>
              <w:end w:w="100" w:type="dxa"/>
            </w:tcMar>
            <w:vAlign w:val="center"/>
          </w:tcPr>
          <w:p>
            <w:pPr>
              <w:spacing w:before="0" w:after="0" w:line="250" w:lineRule="auto"/>
            </w:pPr>
            <w:r/>
            <w:r>
              <w:rPr>
                <w:rFonts w:ascii="Cambria" w:hAnsi="Cambria"/>
                <w:b/>
                <w:i w:val="0"/>
                <w:color w:val="242A2F"/>
                <w:sz w:val="19"/>
              </w:rPr>
              <w:t>Growth</w:t>
            </w:r>
          </w:p>
        </w:tc>
        <w:tc>
          <w:tcPr>
            <w:tcW w:type="dxa" w:w="1642"/>
            <w:tcMar>
              <w:top w:w="85" w:type="dxa"/>
              <w:start w:w="100" w:type="dxa"/>
              <w:bottom w:w="85" w:type="dxa"/>
              <w:end w:w="100" w:type="dxa"/>
            </w:tcMar>
            <w:vAlign w:val="center"/>
          </w:tcPr>
          <w:p>
            <w:pPr>
              <w:spacing w:before="0" w:after="0" w:line="250" w:lineRule="auto"/>
            </w:pPr>
            <w:r/>
            <w:r>
              <w:rPr>
                <w:rFonts w:ascii="Cambria" w:hAnsi="Cambria"/>
                <w:b w:val="0"/>
                <w:i w:val="0"/>
                <w:color w:val="242A2F"/>
                <w:sz w:val="19"/>
              </w:rPr>
              <w:t>$3,500.00</w:t>
            </w:r>
          </w:p>
        </w:tc>
        <w:tc>
          <w:tcPr>
            <w:tcW w:type="dxa" w:w="1440"/>
            <w:tcMar>
              <w:top w:w="85" w:type="dxa"/>
              <w:start w:w="100" w:type="dxa"/>
              <w:bottom w:w="85" w:type="dxa"/>
              <w:end w:w="100" w:type="dxa"/>
            </w:tcMar>
            <w:vAlign w:val="center"/>
          </w:tcPr>
          <w:p>
            <w:pPr>
              <w:spacing w:before="0" w:after="0" w:line="250" w:lineRule="auto"/>
            </w:pPr>
            <w:r/>
            <w:r>
              <w:rPr>
                <w:rFonts w:ascii="Cambria" w:hAnsi="Cambria"/>
                <w:b w:val="0"/>
                <w:i w:val="0"/>
                <w:color w:val="242A2F"/>
                <w:sz w:val="19"/>
              </w:rPr>
              <w:t>15% off</w:t>
            </w:r>
          </w:p>
        </w:tc>
        <w:tc>
          <w:tcPr>
            <w:tcW w:type="dxa" w:w="167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$2,975.00</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$35,700.00</w:t>
            </w:r>
          </w:p>
        </w:tc>
      </w:tr>
      <w:tr>
        <w:trPr>
          <w:cantSplit/>
        </w:trPr>
        <w:tc>
          <w:tcPr>
            <w:tcW w:type="dxa" w:w="2059"/>
            <w:tcMar>
              <w:top w:w="85" w:type="dxa"/>
              <w:start w:w="100" w:type="dxa"/>
              <w:bottom w:w="85" w:type="dxa"/>
              <w:end w:w="100" w:type="dxa"/>
            </w:tcMar>
            <w:vAlign w:val="center"/>
          </w:tcPr>
          <w:p>
            <w:pPr>
              <w:spacing w:before="0" w:after="0" w:line="250" w:lineRule="auto"/>
            </w:pPr>
            <w:r/>
            <w:r>
              <w:rPr>
                <w:rFonts w:ascii="Cambria" w:hAnsi="Cambria"/>
                <w:b/>
                <w:i w:val="0"/>
                <w:color w:val="242A2F"/>
                <w:sz w:val="19"/>
              </w:rPr>
              <w:t>Competitive Growth</w:t>
            </w:r>
          </w:p>
        </w:tc>
        <w:tc>
          <w:tcPr>
            <w:tcW w:type="dxa" w:w="1642"/>
            <w:tcMar>
              <w:top w:w="85" w:type="dxa"/>
              <w:start w:w="100" w:type="dxa"/>
              <w:bottom w:w="85" w:type="dxa"/>
              <w:end w:w="100" w:type="dxa"/>
            </w:tcMar>
            <w:vAlign w:val="center"/>
          </w:tcPr>
          <w:p>
            <w:pPr>
              <w:spacing w:before="0" w:after="0" w:line="250" w:lineRule="auto"/>
            </w:pPr>
            <w:r/>
            <w:r>
              <w:rPr>
                <w:rFonts w:ascii="Cambria" w:hAnsi="Cambria"/>
                <w:b w:val="0"/>
                <w:i w:val="0"/>
                <w:color w:val="242A2F"/>
                <w:sz w:val="19"/>
              </w:rPr>
              <w:t>$5,000.00</w:t>
            </w:r>
          </w:p>
        </w:tc>
        <w:tc>
          <w:tcPr>
            <w:tcW w:type="dxa" w:w="1440"/>
            <w:tcMar>
              <w:top w:w="85" w:type="dxa"/>
              <w:start w:w="100" w:type="dxa"/>
              <w:bottom w:w="85" w:type="dxa"/>
              <w:end w:w="100" w:type="dxa"/>
            </w:tcMar>
            <w:vAlign w:val="center"/>
          </w:tcPr>
          <w:p>
            <w:pPr>
              <w:spacing w:before="0" w:after="0" w:line="250" w:lineRule="auto"/>
            </w:pPr>
            <w:r/>
            <w:r>
              <w:rPr>
                <w:rFonts w:ascii="Cambria" w:hAnsi="Cambria"/>
                <w:b w:val="0"/>
                <w:i w:val="0"/>
                <w:color w:val="242A2F"/>
                <w:sz w:val="19"/>
              </w:rPr>
              <w:t>15% off</w:t>
            </w:r>
          </w:p>
        </w:tc>
        <w:tc>
          <w:tcPr>
            <w:tcW w:type="dxa" w:w="167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$4,250.00</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$51,000.00</w:t>
            </w:r>
          </w:p>
        </w:tc>
      </w:tr>
      <w:tr>
        <w:trPr>
          <w:cantSplit/>
        </w:trPr>
        <w:tc>
          <w:tcPr>
            <w:tcW w:type="dxa" w:w="2059"/>
            <w:tcMar>
              <w:top w:w="85" w:type="dxa"/>
              <w:start w:w="100" w:type="dxa"/>
              <w:bottom w:w="85" w:type="dxa"/>
              <w:end w:w="100" w:type="dxa"/>
            </w:tcMar>
            <w:vAlign w:val="center"/>
          </w:tcPr>
          <w:p>
            <w:pPr>
              <w:spacing w:before="0" w:after="0" w:line="250" w:lineRule="auto"/>
            </w:pPr>
            <w:r/>
            <w:r>
              <w:rPr>
                <w:rFonts w:ascii="Cambria" w:hAnsi="Cambria"/>
                <w:b/>
                <w:i w:val="0"/>
                <w:color w:val="242A2F"/>
                <w:sz w:val="19"/>
              </w:rPr>
              <w:t>Market Ownership</w:t>
            </w:r>
          </w:p>
        </w:tc>
        <w:tc>
          <w:tcPr>
            <w:tcW w:type="dxa" w:w="1642"/>
            <w:tcMar>
              <w:top w:w="85" w:type="dxa"/>
              <w:start w:w="100" w:type="dxa"/>
              <w:bottom w:w="85" w:type="dxa"/>
              <w:end w:w="100" w:type="dxa"/>
            </w:tcMar>
            <w:vAlign w:val="center"/>
          </w:tcPr>
          <w:p>
            <w:pPr>
              <w:spacing w:before="0" w:after="0" w:line="250" w:lineRule="auto"/>
            </w:pPr>
            <w:r/>
            <w:r>
              <w:rPr>
                <w:rFonts w:ascii="Cambria" w:hAnsi="Cambria"/>
                <w:b w:val="0"/>
                <w:i w:val="0"/>
                <w:color w:val="242A2F"/>
                <w:sz w:val="19"/>
              </w:rPr>
              <w:t>$10,000.00</w:t>
            </w:r>
          </w:p>
        </w:tc>
        <w:tc>
          <w:tcPr>
            <w:tcW w:type="dxa" w:w="1440"/>
            <w:tcMar>
              <w:top w:w="85" w:type="dxa"/>
              <w:start w:w="100" w:type="dxa"/>
              <w:bottom w:w="85" w:type="dxa"/>
              <w:end w:w="100" w:type="dxa"/>
            </w:tcMar>
            <w:vAlign w:val="center"/>
          </w:tcPr>
          <w:p>
            <w:pPr>
              <w:spacing w:before="0" w:after="0" w:line="250" w:lineRule="auto"/>
            </w:pPr>
            <w:r/>
            <w:r>
              <w:rPr>
                <w:rFonts w:ascii="Cambria" w:hAnsi="Cambria"/>
                <w:b w:val="0"/>
                <w:i w:val="0"/>
                <w:color w:val="242A2F"/>
                <w:sz w:val="19"/>
              </w:rPr>
              <w:t>15% off</w:t>
            </w:r>
          </w:p>
        </w:tc>
        <w:tc>
          <w:tcPr>
            <w:tcW w:type="dxa" w:w="167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$8,500.00</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$102,000.00</w:t>
            </w:r>
          </w:p>
        </w:tc>
      </w:tr>
      <w:tr>
        <w:trPr>
          <w:cantSplit/>
        </w:trPr>
        <w:tc>
          <w:tcPr>
            <w:tcW w:type="dxa" w:w="2059"/>
            <w:tcMar>
              <w:top w:w="85" w:type="dxa"/>
              <w:start w:w="100" w:type="dxa"/>
              <w:bottom w:w="85" w:type="dxa"/>
              <w:end w:w="100" w:type="dxa"/>
            </w:tcMar>
            <w:vAlign w:val="center"/>
          </w:tcPr>
          <w:p>
            <w:pPr>
              <w:spacing w:before="0" w:after="0" w:line="250" w:lineRule="auto"/>
            </w:pPr>
            <w:r/>
            <w:r>
              <w:rPr>
                <w:rFonts w:ascii="Cambria" w:hAnsi="Cambria"/>
                <w:b/>
                <w:i w:val="0"/>
                <w:color w:val="242A2F"/>
                <w:sz w:val="19"/>
              </w:rPr>
              <w:t>Executive</w:t>
            </w:r>
          </w:p>
        </w:tc>
        <w:tc>
          <w:tcPr>
            <w:tcW w:type="dxa" w:w="1642"/>
            <w:tcMar>
              <w:top w:w="85" w:type="dxa"/>
              <w:start w:w="100" w:type="dxa"/>
              <w:bottom w:w="85" w:type="dxa"/>
              <w:end w:w="100" w:type="dxa"/>
            </w:tcMar>
            <w:vAlign w:val="center"/>
          </w:tcPr>
          <w:p>
            <w:pPr>
              <w:spacing w:before="0" w:after="0" w:line="250" w:lineRule="auto"/>
            </w:pPr>
            <w:r/>
            <w:r>
              <w:rPr>
                <w:rFonts w:ascii="Cambria" w:hAnsi="Cambria"/>
                <w:b w:val="0"/>
                <w:i w:val="0"/>
                <w:color w:val="242A2F"/>
                <w:sz w:val="19"/>
              </w:rPr>
              <w:t>$14,800.00</w:t>
            </w:r>
          </w:p>
        </w:tc>
        <w:tc>
          <w:tcPr>
            <w:tcW w:type="dxa" w:w="1440"/>
            <w:tcMar>
              <w:top w:w="85" w:type="dxa"/>
              <w:start w:w="100" w:type="dxa"/>
              <w:bottom w:w="85" w:type="dxa"/>
              <w:end w:w="100" w:type="dxa"/>
            </w:tcMar>
            <w:vAlign w:val="center"/>
          </w:tcPr>
          <w:p>
            <w:pPr>
              <w:spacing w:before="0" w:after="0" w:line="250" w:lineRule="auto"/>
            </w:pPr>
            <w:r/>
            <w:r>
              <w:rPr>
                <w:rFonts w:ascii="Cambria" w:hAnsi="Cambria"/>
                <w:b w:val="0"/>
                <w:i w:val="0"/>
                <w:color w:val="242A2F"/>
                <w:sz w:val="19"/>
              </w:rPr>
              <w:t>15% off</w:t>
            </w:r>
          </w:p>
        </w:tc>
        <w:tc>
          <w:tcPr>
            <w:tcW w:type="dxa" w:w="167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$12,580.00</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$150,960.00</w:t>
            </w:r>
          </w:p>
        </w:tc>
      </w:tr>
    </w:tbl>
    <w:p>
      <w:pPr>
        <w:spacing w:before="0" w:after="100" w:line="259" w:lineRule="auto"/>
      </w:pPr>
      <w:r>
        <w:rPr>
          <w:rFonts w:ascii="Cambria" w:hAnsi="Cambria"/>
          <w:b w:val="0"/>
          <w:i w:val="0"/>
          <w:color w:val="242A2F"/>
          <w:sz w:val="20"/>
        </w:rPr>
        <w:t>The twelve-month term receives 15% off the published monthly rate. This fee schedule applies only to the initial fixed term. Any later service period requires an express written agreement with new fees.</w:t>
      </w:r>
    </w:p>
    <w:p>
      <w:pPr>
        <w:pStyle w:val="Heading1"/>
        <w:keepNext/>
      </w:pPr>
      <w:r>
        <w:rPr>
          <w:rFonts w:ascii="Arial" w:hAnsi="Arial"/>
          <w:b/>
          <w:i w:val="0"/>
          <w:color w:val="000000"/>
          <w:sz w:val="24"/>
        </w:rPr>
        <w:t>Monthly service-fee allocation</w:t>
      </w:r>
    </w:p>
    <w:p>
      <w:pPr>
        <w:spacing w:before="0" w:after="80" w:line="259" w:lineRule="auto"/>
      </w:pPr>
      <w:r>
        <w:rPr>
          <w:rFonts w:ascii="Cambria" w:hAnsi="Cambria"/>
          <w:b/>
          <w:i w:val="0"/>
          <w:color w:val="242A2F"/>
          <w:sz w:val="20"/>
        </w:rPr>
        <w:t>Complete each applicable line. Mark the guarantee work fee N/A for Market Ownership or Executive. Allocations must total the selected discounted monthly fee.</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3384"/>
        <w:gridCol w:w="6667"/>
      </w:tblGrid>
      <w:tr>
        <w:trPr>
          <w:cantSplit/>
        </w:trPr>
        <w:tc>
          <w:tcPr>
            <w:tcW w:type="dxa" w:w="3384"/>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Selected package and monthly fee</w:t>
            </w:r>
          </w:p>
        </w:tc>
        <w:tc>
          <w:tcPr>
            <w:tcW w:type="dxa" w:w="666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selected tier and discounted monthly fee]</w:t>
            </w:r>
          </w:p>
        </w:tc>
      </w:tr>
      <w:tr>
        <w:trPr>
          <w:cantSplit/>
        </w:trPr>
        <w:tc>
          <w:tcPr>
            <w:tcW w:type="dxa" w:w="3384"/>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Eligible-plan guarantee work fee</w:t>
            </w:r>
          </w:p>
        </w:tc>
        <w:tc>
          <w:tcPr>
            <w:tcW w:type="dxa" w:w="666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$[Monthly amount; eligible plans only; otherwise N/A] — tasks: [List; Discovery is limited to agreed search/intake scope]</w:t>
            </w:r>
          </w:p>
        </w:tc>
      </w:tr>
      <w:tr>
        <w:trPr>
          <w:cantSplit/>
        </w:trPr>
        <w:tc>
          <w:tcPr>
            <w:tcW w:type="dxa" w:w="3384"/>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Other included service 1</w:t>
            </w:r>
          </w:p>
        </w:tc>
        <w:tc>
          <w:tcPr>
            <w:tcW w:type="dxa" w:w="666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[Service] — $[monthly allocation]</w:t>
            </w:r>
          </w:p>
        </w:tc>
      </w:tr>
      <w:tr>
        <w:trPr>
          <w:cantSplit/>
        </w:trPr>
        <w:tc>
          <w:tcPr>
            <w:tcW w:type="dxa" w:w="3384"/>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Other included service 2</w:t>
            </w:r>
          </w:p>
        </w:tc>
        <w:tc>
          <w:tcPr>
            <w:tcW w:type="dxa" w:w="666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[Service] — $[monthly allocation, or N/A]</w:t>
            </w:r>
          </w:p>
        </w:tc>
      </w:tr>
      <w:tr>
        <w:trPr>
          <w:cantSplit/>
        </w:trPr>
        <w:tc>
          <w:tcPr>
            <w:tcW w:type="dxa" w:w="3384"/>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Other included service 3</w:t>
            </w:r>
          </w:p>
        </w:tc>
        <w:tc>
          <w:tcPr>
            <w:tcW w:type="dxa" w:w="666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[Service] — $[monthly allocation, or N/A]</w:t>
            </w:r>
          </w:p>
        </w:tc>
      </w:tr>
      <w:tr>
        <w:trPr>
          <w:cantSplit/>
        </w:trPr>
        <w:tc>
          <w:tcPr>
            <w:tcW w:type="dxa" w:w="3384"/>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Monthly allocation total</w:t>
            </w:r>
          </w:p>
        </w:tc>
        <w:tc>
          <w:tcPr>
            <w:tcW w:type="dxa" w:w="666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$[Must equal selected discounted monthly fee]</w:t>
            </w:r>
          </w:p>
        </w:tc>
      </w:tr>
    </w:tbl>
    <w:p>
      <w:pPr>
        <w:pStyle w:val="Heading1"/>
        <w:keepNext/>
      </w:pPr>
      <w:r>
        <w:rPr>
          <w:rFonts w:ascii="Arial" w:hAnsi="Arial"/>
          <w:b/>
          <w:i w:val="0"/>
          <w:color w:val="000000"/>
          <w:sz w:val="24"/>
        </w:rPr>
        <w:t>Invoices and separate costs</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2880"/>
        <w:gridCol w:w="7171"/>
      </w:tblGrid>
      <w:tr>
        <w:trPr>
          <w:cantSplit/>
        </w:trPr>
        <w:tc>
          <w:tcPr>
            <w:tcW w:type="dxa" w:w="2880"/>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Invoice frequency</w:t>
            </w:r>
          </w:p>
        </w:tc>
        <w:tc>
          <w:tcPr>
            <w:tcW w:type="dxa" w:w="7171"/>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Monthly during paid service</w:t>
            </w:r>
          </w:p>
        </w:tc>
      </w:tr>
      <w:tr>
        <w:trPr>
          <w:cantSplit/>
        </w:trPr>
        <w:tc>
          <w:tcPr>
            <w:tcW w:type="dxa" w:w="2880"/>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Monthly invoice date</w:t>
            </w:r>
          </w:p>
        </w:tc>
        <w:tc>
          <w:tcPr>
            <w:tcW w:type="dxa" w:w="7171"/>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invoice day/date, including first invoice date]</w:t>
            </w:r>
          </w:p>
        </w:tc>
      </w:tr>
      <w:tr>
        <w:trPr>
          <w:cantSplit/>
        </w:trPr>
        <w:tc>
          <w:tcPr>
            <w:tcW w:type="dxa" w:w="2880"/>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Payment due date</w:t>
            </w:r>
          </w:p>
        </w:tc>
        <w:tc>
          <w:tcPr>
            <w:tcW w:type="dxa" w:w="7171"/>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agreed due date or number of days after invoice]</w:t>
            </w:r>
          </w:p>
        </w:tc>
      </w:tr>
      <w:tr>
        <w:trPr>
          <w:cantSplit/>
        </w:trPr>
        <w:tc>
          <w:tcPr>
            <w:tcW w:type="dxa" w:w="2880"/>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Payment instructions</w:t>
            </w:r>
          </w:p>
        </w:tc>
        <w:tc>
          <w:tcPr>
            <w:tcW w:type="dxa" w:w="7171"/>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invoice payment instructions]</w:t>
            </w:r>
          </w:p>
        </w:tc>
      </w:tr>
      <w:tr>
        <w:trPr>
          <w:cantSplit/>
        </w:trPr>
        <w:tc>
          <w:tcPr>
            <w:tcW w:type="dxa" w:w="2880"/>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Pre-approved third-party costs</w:t>
            </w:r>
          </w:p>
        </w:tc>
        <w:tc>
          <w:tcPr>
            <w:tcW w:type="dxa" w:w="7171"/>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[List any separate approved costs or enter None]</w:t>
            </w:r>
          </w:p>
        </w:tc>
      </w:tr>
    </w:tbl>
    <w:p>
      <w:pPr>
        <w:spacing w:before="0" w:after="80" w:line="259" w:lineRule="auto"/>
      </w:pPr>
      <w:r>
        <w:rPr>
          <w:rFonts w:ascii="Cambria" w:hAnsi="Cambria"/>
          <w:b w:val="0"/>
          <w:i w:val="0"/>
          <w:color w:val="242A2F"/>
          <w:sz w:val="19"/>
        </w:rPr>
        <w:t>Advertising spend, platform subscriptions, and other third-party costs are separate from service fees. Client pays advertising platforms and third parties directly unless a specific cost and payment arrangement are approved in writing. This Agreement authorizes no automatic card charge or card capture.</w:t>
      </w:r>
    </w:p>
    <w:p>
      <w:pPr>
        <w:pStyle w:val="Heading1"/>
        <w:keepNext/>
      </w:pPr>
      <w:r>
        <w:rPr>
          <w:rFonts w:ascii="Arial" w:hAnsi="Arial"/>
          <w:b/>
          <w:i w:val="0"/>
          <w:color w:val="000000"/>
          <w:sz w:val="24"/>
        </w:rPr>
        <w:t>Fixed term and setup</w:t>
      </w:r>
    </w:p>
    <w:p>
      <w:pPr>
        <w:spacing w:before="0" w:after="20" w:line="259" w:lineRule="auto"/>
      </w:pPr>
      <w:r>
        <w:rPr>
          <w:rFonts w:ascii="Cambria" w:hAnsi="Cambria"/>
          <w:b w:val="0"/>
          <w:i w:val="0"/>
          <w:color w:val="242A2F"/>
          <w:sz w:val="19"/>
        </w:rPr>
        <w:t>The initial service term is 12 consecutive calendar months from the actual Service Start date through the actual Term End date. These dates define the term; they are not converted to a fixed day count. The opportunity guarantee's 100 live campaign days run on a separate clock.</w:t>
      </w:r>
    </w:p>
    <w:p>
      <w:pPr>
        <w:pStyle w:val="Title"/>
        <w:keepNext/>
        <w:pageBreakBefore/>
      </w:pPr>
      <w:r>
        <w:rPr>
          <w:rFonts w:ascii="Cambria" w:hAnsi="Cambria"/>
          <w:b/>
          <w:i w:val="0"/>
          <w:color w:val="000000"/>
          <w:sz w:val="39"/>
        </w:rPr>
        <w:t>Schedule A</w:t>
      </w:r>
    </w:p>
    <w:p>
      <w:pPr>
        <w:spacing w:before="0" w:after="140" w:line="259" w:lineRule="auto"/>
      </w:pPr>
      <w:r>
        <w:rPr>
          <w:rFonts w:ascii="Cambria" w:hAnsi="Cambria"/>
          <w:b/>
          <w:i w:val="0"/>
          <w:color w:val="000000"/>
          <w:sz w:val="20"/>
        </w:rPr>
        <w:t>100 Day 30 Percent Qualified Opportunity Guarantee Baseline and Target</w:t>
      </w:r>
    </w:p>
    <w:p>
      <w:pPr>
        <w:spacing w:before="0" w:after="80" w:line="259" w:lineRule="auto"/>
      </w:pPr>
      <w:r>
        <w:rPr>
          <w:rFonts w:ascii="Cambria" w:hAnsi="Cambria"/>
          <w:b/>
          <w:i w:val="0"/>
          <w:color w:val="242A2F"/>
          <w:sz w:val="20"/>
        </w:rPr>
        <w:t>This schedule applies only when the selected package is Discovery &amp; Intake, Growth, or Competitive Growth. Market Ownership and Executive are excluded. Mark this schedule not applicable for either excluded package; no guarantee or no fee remedy applies.</w:t>
      </w:r>
    </w:p>
    <w:p>
      <w:pPr>
        <w:pStyle w:val="Heading1"/>
        <w:keepNext/>
      </w:pPr>
      <w:r>
        <w:rPr>
          <w:rFonts w:ascii="Arial" w:hAnsi="Arial"/>
          <w:b/>
          <w:i w:val="0"/>
          <w:color w:val="000000"/>
          <w:sz w:val="24"/>
        </w:rPr>
        <w:t>Campaign and baseline record</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1757"/>
        <w:gridCol w:w="3269"/>
        <w:gridCol w:w="1786"/>
        <w:gridCol w:w="3240"/>
      </w:tblGrid>
      <w:tr>
        <w:trPr>
          <w:cantSplit/>
        </w:trPr>
        <w:tc>
          <w:tcPr>
            <w:tcW w:type="dxa" w:w="1757"/>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Client legal name</w:t>
            </w:r>
          </w:p>
        </w:tc>
        <w:tc>
          <w:tcPr>
            <w:tcW w:type="dxa" w:w="3269"/>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legal name]</w:t>
            </w:r>
          </w:p>
        </w:tc>
        <w:tc>
          <w:tcPr>
            <w:tcW w:type="dxa" w:w="178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Selected tier</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[Select the package checked on page 1]</w:t>
            </w:r>
          </w:p>
        </w:tc>
      </w:tr>
      <w:tr>
        <w:trPr>
          <w:cantSplit/>
        </w:trPr>
        <w:tc>
          <w:tcPr>
            <w:tcW w:type="dxa" w:w="1757"/>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Guarantee status</w:t>
            </w:r>
          </w:p>
        </w:tc>
        <w:tc>
          <w:tcPr>
            <w:tcW w:type="dxa" w:w="3269"/>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[Complete only for eligible package; otherwise mark N/A]</w:t>
            </w:r>
          </w:p>
        </w:tc>
        <w:tc>
          <w:tcPr>
            <w:tcW w:type="dxa" w:w="178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Selected term</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[4 / 8 / 12 calendar months]</w:t>
            </w:r>
          </w:p>
        </w:tc>
      </w:tr>
      <w:tr>
        <w:trPr>
          <w:cantSplit/>
        </w:trPr>
        <w:tc>
          <w:tcPr>
            <w:tcW w:type="dxa" w:w="1757"/>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Service area</w:t>
            </w:r>
          </w:p>
        </w:tc>
        <w:tc>
          <w:tcPr>
            <w:tcW w:type="dxa" w:w="3269"/>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[Cities, ZIP codes, or territory]</w:t>
            </w:r>
          </w:p>
        </w:tc>
        <w:tc>
          <w:tcPr>
            <w:tcW w:type="dxa" w:w="178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Offered services</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[List services covered]</w:t>
            </w:r>
          </w:p>
        </w:tc>
      </w:tr>
      <w:tr>
        <w:trPr>
          <w:cantSplit/>
        </w:trPr>
        <w:tc>
          <w:tcPr>
            <w:tcW w:type="dxa" w:w="1757"/>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Managed channels</w:t>
            </w:r>
          </w:p>
        </w:tc>
        <w:tc>
          <w:tcPr>
            <w:tcW w:type="dxa" w:w="3269"/>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[Name channels and accounts]</w:t>
            </w:r>
          </w:p>
        </w:tc>
        <w:tc>
          <w:tcPr>
            <w:tcW w:type="dxa" w:w="178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Source of truth</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[CRM, call/form logs, or report]</w:t>
            </w:r>
          </w:p>
        </w:tc>
      </w:tr>
      <w:tr>
        <w:trPr>
          <w:cantSplit/>
        </w:trPr>
        <w:tc>
          <w:tcPr>
            <w:tcW w:type="dxa" w:w="1757"/>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Go-live date</w:t>
            </w:r>
          </w:p>
        </w:tc>
        <w:tc>
          <w:tcPr>
            <w:tcW w:type="dxa" w:w="3269"/>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[Agreed actual date]</w:t>
            </w:r>
          </w:p>
        </w:tc>
        <w:tc>
          <w:tcPr>
            <w:tcW w:type="dxa" w:w="178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Setup target</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Within first 20 days of term</w:t>
            </w:r>
          </w:p>
        </w:tc>
      </w:tr>
      <w:tr>
        <w:trPr>
          <w:cantSplit/>
        </w:trPr>
        <w:tc>
          <w:tcPr>
            <w:tcW w:type="dxa" w:w="1757"/>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Baseline start</w:t>
            </w:r>
          </w:p>
        </w:tc>
        <w:tc>
          <w:tcPr>
            <w:tcW w:type="dxa" w:w="3269"/>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[Actual date]</w:t>
            </w:r>
          </w:p>
        </w:tc>
        <w:tc>
          <w:tcPr>
            <w:tcW w:type="dxa" w:w="178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Baseline end</w:t>
            </w:r>
          </w:p>
        </w:tc>
        <w:tc>
          <w:tcPr>
            <w:tcW w:type="dxa" w:w="3240"/>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[Actual date; same 30-day period]</w:t>
            </w:r>
          </w:p>
        </w:tc>
      </w:tr>
    </w:tbl>
    <w:p>
      <w:pPr>
        <w:pStyle w:val="Heading1"/>
        <w:keepNext/>
      </w:pPr>
      <w:r>
        <w:rPr>
          <w:rFonts w:ascii="Arial" w:hAnsi="Arial"/>
          <w:b/>
          <w:i w:val="0"/>
          <w:color w:val="000000"/>
          <w:sz w:val="24"/>
        </w:rPr>
        <w:t>Baseline count and signed target</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3139"/>
        <w:gridCol w:w="6912"/>
      </w:tblGrid>
      <w:tr>
        <w:trPr>
          <w:cantSplit/>
        </w:trPr>
        <w:tc>
          <w:tcPr>
            <w:tcW w:type="dxa" w:w="3139"/>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Baseline qualified opportunities</w:t>
            </w:r>
          </w:p>
        </w:tc>
        <w:tc>
          <w:tcPr>
            <w:tcW w:type="dxa" w:w="6912"/>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[Non-negative whole number in the 30-day baseline]</w:t>
            </w:r>
          </w:p>
        </w:tc>
      </w:tr>
      <w:tr>
        <w:trPr>
          <w:cantSplit/>
        </w:trPr>
        <w:tc>
          <w:tcPr>
            <w:tcW w:type="dxa" w:w="3139"/>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Minimum floor</w:t>
            </w:r>
          </w:p>
        </w:tc>
        <w:tc>
          <w:tcPr>
            <w:tcW w:type="dxa" w:w="6912"/>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[Whole number; required for zero or near-zero baseline]</w:t>
            </w:r>
          </w:p>
        </w:tc>
      </w:tr>
      <w:tr>
        <w:trPr>
          <w:cantSplit/>
        </w:trPr>
        <w:tc>
          <w:tcPr>
            <w:tcW w:type="dxa" w:w="3139"/>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Guaranteed target</w:t>
            </w:r>
          </w:p>
        </w:tc>
        <w:tc>
          <w:tcPr>
            <w:tcW w:type="dxa" w:w="6912"/>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[Whole number: max(ceil(1.30 × baseline), minimum floor)]</w:t>
            </w:r>
          </w:p>
        </w:tc>
      </w:tr>
      <w:tr>
        <w:trPr>
          <w:cantSplit/>
        </w:trPr>
        <w:tc>
          <w:tcPr>
            <w:tcW w:type="dxa" w:w="3139"/>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Original comparison window</w:t>
            </w:r>
          </w:p>
        </w:tc>
        <w:tc>
          <w:tcPr>
            <w:tcW w:type="dxa" w:w="6912"/>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Live campaign days 71 through 100</w:t>
            </w:r>
          </w:p>
        </w:tc>
      </w:tr>
      <w:tr>
        <w:trPr>
          <w:cantSplit/>
        </w:trPr>
        <w:tc>
          <w:tcPr>
            <w:tcW w:type="dxa" w:w="3139"/>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Target evidence record</w:t>
            </w:r>
          </w:p>
        </w:tc>
        <w:tc>
          <w:tcPr>
            <w:tcW w:type="dxa" w:w="6912"/>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[Exact report or source records used for the count]</w:t>
            </w:r>
          </w:p>
        </w:tc>
      </w:tr>
    </w:tbl>
    <w:p>
      <w:pPr>
        <w:spacing w:before="0" w:after="100" w:line="259" w:lineRule="auto"/>
      </w:pPr>
      <w:r>
        <w:rPr>
          <w:rFonts w:ascii="Cambria" w:hAnsi="Cambria"/>
          <w:b w:val="0"/>
          <w:i w:val="0"/>
          <w:color w:val="242A2F"/>
          <w:sz w:val="20"/>
        </w:rPr>
        <w:t>The final 30 live campaign days (days 71–100) are compared with the signed prior 30-day baseline using the same managed channels, qualification rules, and source of truth. The whole-number target is at least 1.30 times the baseline, rounded up. For a zero or near-zero baseline, enter a meaningful written minimum floor above the baseline; the target is the greater of that floor and the 30% formula.</w:t>
      </w:r>
    </w:p>
    <w:p>
      <w:pPr>
        <w:pStyle w:val="Heading1"/>
        <w:keepNext/>
      </w:pPr>
      <w:r>
        <w:rPr>
          <w:rFonts w:ascii="Arial" w:hAnsi="Arial"/>
          <w:b/>
          <w:i w:val="0"/>
          <w:color w:val="000000"/>
          <w:sz w:val="24"/>
        </w:rPr>
        <w:t>What the target measures</w:t>
      </w:r>
    </w:p>
    <w:p>
      <w:pPr>
        <w:spacing w:before="0" w:after="80" w:line="259" w:lineRule="auto"/>
      </w:pPr>
      <w:r>
        <w:rPr>
          <w:rFonts w:ascii="Cambria" w:hAnsi="Cambria"/>
          <w:b w:val="0"/>
          <w:i w:val="0"/>
          <w:color w:val="242A2F"/>
          <w:sz w:val="20"/>
        </w:rPr>
        <w:t>The target counts qualified opportunities, not closed deals, booked estimates, or revenue. A genuine qualified request counts whether or not the prospect later buys. Client response time, scheduling, availability, pricing, and sales outcomes may affect later results but do not change the opportunity count.</w:t>
      </w:r>
    </w:p>
    <w:p>
      <w:pPr>
        <w:spacing w:before="0" w:after="40" w:line="259" w:lineRule="auto"/>
      </w:pPr>
      <w:r>
        <w:rPr>
          <w:rFonts w:ascii="Cambria" w:hAnsi="Cambria"/>
          <w:b w:val="0"/>
          <w:i w:val="0"/>
          <w:color w:val="242A2F"/>
          <w:sz w:val="20"/>
        </w:rPr>
        <w:t>The agreed evidence source above is used to verify the baseline and measurement-window counts. A change to the source, attribution, channels, service area, or target requires a signed written change before affected campaign activity begins.</w:t>
      </w:r>
    </w:p>
    <w:p>
      <w:pPr>
        <w:pStyle w:val="Title"/>
        <w:keepNext/>
        <w:pageBreakBefore/>
      </w:pPr>
      <w:r>
        <w:rPr>
          <w:rFonts w:ascii="Cambria" w:hAnsi="Cambria"/>
          <w:b/>
          <w:i w:val="0"/>
          <w:color w:val="000000"/>
          <w:sz w:val="39"/>
        </w:rPr>
        <w:t>Schedule A</w:t>
      </w:r>
    </w:p>
    <w:p>
      <w:pPr>
        <w:spacing w:before="0" w:after="140" w:line="259" w:lineRule="auto"/>
      </w:pPr>
      <w:r>
        <w:rPr>
          <w:rFonts w:ascii="Cambria" w:hAnsi="Cambria"/>
          <w:b/>
          <w:i w:val="0"/>
          <w:color w:val="000000"/>
          <w:sz w:val="20"/>
        </w:rPr>
        <w:t>Qualified Opportunity Rules Spend Limit and Sign Off</w:t>
      </w:r>
    </w:p>
    <w:p>
      <w:pPr>
        <w:pStyle w:val="Heading1"/>
        <w:keepNext/>
      </w:pPr>
      <w:r>
        <w:rPr>
          <w:rFonts w:ascii="Arial" w:hAnsi="Arial"/>
          <w:b/>
          <w:i w:val="0"/>
          <w:color w:val="000000"/>
          <w:sz w:val="24"/>
        </w:rPr>
        <w:t>Qualified opportunity</w:t>
      </w:r>
    </w:p>
    <w:p>
      <w:pPr>
        <w:spacing w:before="0" w:after="100" w:line="259" w:lineRule="auto"/>
      </w:pPr>
      <w:r>
        <w:rPr>
          <w:rFonts w:ascii="Cambria" w:hAnsi="Cambria"/>
          <w:b w:val="0"/>
          <w:i w:val="0"/>
          <w:color w:val="242A2F"/>
          <w:sz w:val="20"/>
        </w:rPr>
        <w:t>A qualified opportunity is a real prospect who requests an offered service for a location in the signed service area and provides a working phone number or email address. Spam, solicitations, job applications, unrelated requests, and requests outside the agreed territory do not count.</w:t>
      </w:r>
    </w:p>
    <w:p>
      <w:pPr>
        <w:pStyle w:val="Heading1"/>
        <w:keepNext/>
      </w:pPr>
      <w:r>
        <w:rPr>
          <w:rFonts w:ascii="Arial" w:hAnsi="Arial"/>
          <w:b/>
          <w:i w:val="0"/>
          <w:color w:val="000000"/>
          <w:sz w:val="24"/>
        </w:rPr>
        <w:t>Duplicates and channel attribution</w:t>
      </w:r>
    </w:p>
    <w:p>
      <w:pPr>
        <w:spacing w:before="0" w:after="100" w:line="259" w:lineRule="auto"/>
      </w:pPr>
      <w:r>
        <w:rPr>
          <w:rFonts w:ascii="Cambria" w:hAnsi="Cambria"/>
          <w:b w:val="0"/>
          <w:i w:val="0"/>
          <w:color w:val="242A2F"/>
          <w:sz w:val="20"/>
        </w:rPr>
        <w:t>Count one prospect once across the named managed channels within a rolling 30-day window. Calls, forms, texts, and related messages from the same prospect are one opportunity; a follow-up on an existing open request is not a new opportunity. Apply the same attribution and duplicate rules to the baseline, original comparison window, and each remedy window.</w:t>
      </w:r>
    </w:p>
    <w:p>
      <w:pPr>
        <w:pStyle w:val="Heading1"/>
        <w:keepNext/>
      </w:pPr>
      <w:r>
        <w:rPr>
          <w:rFonts w:ascii="Arial" w:hAnsi="Arial"/>
          <w:b/>
          <w:i w:val="0"/>
          <w:color w:val="000000"/>
          <w:sz w:val="24"/>
        </w:rPr>
        <w:t>Covered media-spend limit</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3096"/>
        <w:gridCol w:w="6955"/>
      </w:tblGrid>
      <w:tr>
        <w:trPr>
          <w:cantSplit/>
        </w:trPr>
        <w:tc>
          <w:tcPr>
            <w:tcW w:type="dxa" w:w="309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Baseline-window actual spend</w:t>
            </w:r>
          </w:p>
        </w:tc>
        <w:tc>
          <w:tcPr>
            <w:tcW w:type="dxa" w:w="6955"/>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$[Actual spend on covered media during baseline window]</w:t>
            </w:r>
          </w:p>
        </w:tc>
      </w:tr>
      <w:tr>
        <w:trPr>
          <w:cantSplit/>
        </w:trPr>
        <w:tc>
          <w:tcPr>
            <w:tcW w:type="dxa" w:w="309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New-program starter budget</w:t>
            </w:r>
          </w:p>
        </w:tc>
        <w:tc>
          <w:tcPr>
            <w:tcW w:type="dxa" w:w="6955"/>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$[For new program without comparable spend; agree with floor]</w:t>
            </w:r>
          </w:p>
        </w:tc>
      </w:tr>
      <w:tr>
        <w:trPr>
          <w:cantSplit/>
        </w:trPr>
        <w:tc>
          <w:tcPr>
            <w:tcW w:type="dxa" w:w="309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Signed spend cap</w:t>
            </w:r>
          </w:p>
        </w:tc>
        <w:tc>
          <w:tcPr>
            <w:tcW w:type="dxa" w:w="6955"/>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$[Baseline actual spend, or agreed starter budget for new program]</w:t>
            </w:r>
          </w:p>
        </w:tc>
      </w:tr>
      <w:tr>
        <w:trPr>
          <w:cantSplit/>
        </w:trPr>
        <w:tc>
          <w:tcPr>
            <w:tcW w:type="dxa" w:w="3096"/>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Spend evidence source</w:t>
            </w:r>
          </w:p>
        </w:tc>
        <w:tc>
          <w:tcPr>
            <w:tcW w:type="dxa" w:w="6955"/>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[Platform billing report or other agreed record]</w:t>
            </w:r>
          </w:p>
        </w:tc>
      </w:tr>
    </w:tbl>
    <w:p>
      <w:pPr>
        <w:spacing w:before="0" w:after="100" w:line="259" w:lineRule="auto"/>
      </w:pPr>
      <w:r>
        <w:rPr>
          <w:rFonts w:ascii="Cambria" w:hAnsi="Cambria"/>
          <w:b w:val="0"/>
          <w:i w:val="0"/>
          <w:color w:val="242A2F"/>
          <w:sz w:val="20"/>
        </w:rPr>
        <w:t>Covered-media spend in the original final 30-day measurement window must be no greater than actual covered-media spend in the baseline window. For a new program without comparable prior spend, the signed starter budget agreed with its minimum floor is the cap. The same signed cap applies to each remedy window. Extra advertising spend cannot be used to show the target was met.</w:t>
      </w:r>
    </w:p>
    <w:p>
      <w:pPr>
        <w:spacing w:before="0" w:after="80" w:line="259" w:lineRule="auto"/>
      </w:pPr>
      <w:r>
        <w:rPr>
          <w:rFonts w:ascii="Cambria" w:hAnsi="Cambria"/>
          <w:b/>
          <w:i w:val="0"/>
          <w:color w:val="242A2F"/>
          <w:sz w:val="20"/>
        </w:rPr>
        <w:t>This guarantee applies only to Discovery &amp; Intake, Growth, and Competitive Growth. Discovery &amp; Intake covers only the agreed search and intake scope; paid campaign management begins with Growth. Market Ownership and Executive are excluded. Additional custom work is separate and does not expand this guarantee.</w:t>
      </w:r>
    </w:p>
    <w:p>
      <w:pPr>
        <w:pStyle w:val="Heading1"/>
        <w:keepNext/>
      </w:pPr>
      <w:r>
        <w:rPr>
          <w:rFonts w:ascii="Arial" w:hAnsi="Arial"/>
          <w:b/>
          <w:i w:val="0"/>
          <w:color w:val="000000"/>
          <w:sz w:val="24"/>
        </w:rPr>
        <w:t>Pre-launch approval</w:t>
      </w:r>
    </w:p>
    <w:p>
      <w:pPr>
        <w:spacing w:before="0" w:after="80" w:line="259" w:lineRule="auto"/>
      </w:pPr>
      <w:r>
        <w:rPr>
          <w:rFonts w:ascii="Cambria" w:hAnsi="Cambria"/>
          <w:b w:val="0"/>
          <w:i w:val="0"/>
          <w:color w:val="242A2F"/>
          <w:sz w:val="20"/>
        </w:rPr>
        <w:t>By signing below, the parties approve the service area, offered services, named channels, baseline period and count, any required minimum floor, guaranteed target, spend cap, and evidence sources above. The actual go-live date is confirmed in writing after setup is complete.</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2045"/>
        <w:gridCol w:w="3384"/>
        <w:gridCol w:w="2995"/>
        <w:gridCol w:w="1627"/>
      </w:tblGrid>
      <w:tr>
        <w:trPr>
          <w:cantSplit/>
          <w:tblHeader w:val="true"/>
        </w:trPr>
        <w:tc>
          <w:tcPr>
            <w:tcW w:type="dxa" w:w="2045"/>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Party</w:t>
            </w:r>
          </w:p>
        </w:tc>
        <w:tc>
          <w:tcPr>
            <w:tcW w:type="dxa" w:w="3384"/>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Signature</w:t>
            </w:r>
          </w:p>
        </w:tc>
        <w:tc>
          <w:tcPr>
            <w:tcW w:type="dxa" w:w="2995"/>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Printed name and title</w:t>
            </w:r>
          </w:p>
        </w:tc>
        <w:tc>
          <w:tcPr>
            <w:tcW w:type="dxa" w:w="1627"/>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Date</w:t>
            </w:r>
          </w:p>
        </w:tc>
      </w:tr>
      <w:tr>
        <w:trPr>
          <w:cantSplit/>
        </w:trPr>
        <w:tc>
          <w:tcPr>
            <w:tcW w:type="dxa" w:w="2045"/>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18364D"/>
                <w:sz w:val="19"/>
              </w:rPr>
              <w:t>Client</w:t>
            </w:r>
          </w:p>
        </w:tc>
        <w:tc>
          <w:tcPr>
            <w:tcW w:type="dxa" w:w="3384"/>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________________________________</w:t>
            </w:r>
          </w:p>
        </w:tc>
        <w:tc>
          <w:tcPr>
            <w:tcW w:type="dxa" w:w="2995"/>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[Print name and title]</w:t>
            </w:r>
          </w:p>
        </w:tc>
        <w:tc>
          <w:tcPr>
            <w:tcW w:type="dxa" w:w="162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date]</w:t>
            </w:r>
          </w:p>
        </w:tc>
      </w:tr>
      <w:tr>
        <w:trPr>
          <w:cantSplit/>
        </w:trPr>
        <w:tc>
          <w:tcPr>
            <w:tcW w:type="dxa" w:w="2045"/>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18364D"/>
                <w:sz w:val="19"/>
              </w:rPr>
              <w:t>Provider</w:t>
            </w:r>
          </w:p>
        </w:tc>
        <w:tc>
          <w:tcPr>
            <w:tcW w:type="dxa" w:w="3384"/>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________________________________</w:t>
            </w:r>
          </w:p>
        </w:tc>
        <w:tc>
          <w:tcPr>
            <w:tcW w:type="dxa" w:w="2995"/>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[Print name and title]</w:t>
            </w:r>
          </w:p>
        </w:tc>
        <w:tc>
          <w:tcPr>
            <w:tcW w:type="dxa" w:w="162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date]</w:t>
            </w:r>
          </w:p>
        </w:tc>
      </w:tr>
    </w:tbl>
    <w:p>
      <w:pPr>
        <w:pStyle w:val="Title"/>
        <w:keepNext/>
        <w:pageBreakBefore/>
      </w:pPr>
      <w:r>
        <w:rPr>
          <w:rFonts w:ascii="Cambria" w:hAnsi="Cambria"/>
          <w:b/>
          <w:i w:val="0"/>
          <w:color w:val="000000"/>
          <w:sz w:val="39"/>
        </w:rPr>
        <w:t>Operating terms</w:t>
      </w:r>
    </w:p>
    <w:p>
      <w:pPr>
        <w:spacing w:before="0" w:after="140" w:line="259" w:lineRule="auto"/>
      </w:pPr>
      <w:r>
        <w:rPr>
          <w:rFonts w:ascii="Cambria" w:hAnsi="Cambria"/>
          <w:b/>
          <w:i w:val="0"/>
          <w:color w:val="000000"/>
          <w:sz w:val="20"/>
        </w:rPr>
        <w:t>Account Access Confidentiality Changes and Guarantee Remedy</w:t>
      </w:r>
    </w:p>
    <w:p>
      <w:pPr>
        <w:pStyle w:val="Heading1"/>
        <w:keepNext/>
      </w:pPr>
      <w:r>
        <w:rPr>
          <w:rFonts w:ascii="Arial" w:hAnsi="Arial"/>
          <w:b/>
          <w:i w:val="0"/>
          <w:color w:val="000000"/>
          <w:sz w:val="24"/>
        </w:rPr>
        <w:t>Account ownership and scoped access</w:t>
      </w:r>
    </w:p>
    <w:p>
      <w:pPr>
        <w:spacing w:before="0" w:after="100" w:line="259" w:lineRule="auto"/>
      </w:pPr>
      <w:r>
        <w:rPr>
          <w:rFonts w:ascii="Cambria" w:hAnsi="Cambria"/>
          <w:b w:val="0"/>
          <w:i w:val="0"/>
          <w:color w:val="242A2F"/>
          <w:sz w:val="20"/>
        </w:rPr>
        <w:t>Client retains ownership and administrative control of its existing accounts, contact records, and business data. Client provides Provider only the access needed for the written scope. That access does not transfer ownership, and Provider uses it only to deliver the agreed services. Provider retains ownership of its pre-existing tools and shared network. Rights, access, and handover for new deliverables are only those stated in the signed scope schedule; no underlying Provider tools or shared-network assets transfer under this Agreement.</w:t>
      </w:r>
    </w:p>
    <w:p>
      <w:pPr>
        <w:pStyle w:val="Heading1"/>
        <w:keepNext/>
      </w:pPr>
      <w:r>
        <w:rPr>
          <w:rFonts w:ascii="Arial" w:hAnsi="Arial"/>
          <w:b/>
          <w:i w:val="0"/>
          <w:color w:val="000000"/>
          <w:sz w:val="24"/>
        </w:rPr>
        <w:t>Confidential information</w:t>
      </w:r>
    </w:p>
    <w:p>
      <w:pPr>
        <w:spacing w:before="0" w:after="100" w:line="259" w:lineRule="auto"/>
      </w:pPr>
      <w:r>
        <w:rPr>
          <w:rFonts w:ascii="Cambria" w:hAnsi="Cambria"/>
          <w:b w:val="0"/>
          <w:i w:val="0"/>
          <w:color w:val="242A2F"/>
          <w:sz w:val="20"/>
        </w:rPr>
        <w:t>Each party will use the other party's nonpublic business information only to perform or receive the services and protect it with reasonable care. A party may share it with personnel who need it for this work and must protect it, or when disclosure is required by law.</w:t>
      </w:r>
    </w:p>
    <w:p>
      <w:pPr>
        <w:pStyle w:val="Heading1"/>
        <w:keepNext/>
      </w:pPr>
      <w:r>
        <w:rPr>
          <w:rFonts w:ascii="Arial" w:hAnsi="Arial"/>
          <w:b/>
          <w:i w:val="0"/>
          <w:color w:val="000000"/>
          <w:sz w:val="24"/>
        </w:rPr>
        <w:t>Changes and notices</w:t>
      </w:r>
    </w:p>
    <w:p>
      <w:pPr>
        <w:spacing w:before="0" w:after="100" w:line="259" w:lineRule="auto"/>
      </w:pPr>
      <w:r>
        <w:rPr>
          <w:rFonts w:ascii="Cambria" w:hAnsi="Cambria"/>
          <w:b w:val="0"/>
          <w:i w:val="0"/>
          <w:color w:val="242A2F"/>
          <w:sz w:val="20"/>
        </w:rPr>
        <w:t>A change to services, deliverables, channels, service area, fees, media budget, target, or measurement method takes effect only when both parties approve it in writing. A later change does not retroactively alter the signed baseline or target. Record budget changes before the affected campaign activity begins. Written notices should be sent to the Provider and Client contacts listed on page 1, or to a replacement contact provided in writing.</w:t>
      </w:r>
    </w:p>
    <w:p>
      <w:pPr>
        <w:pStyle w:val="Heading1"/>
        <w:keepNext/>
      </w:pPr>
      <w:r>
        <w:rPr>
          <w:rFonts w:ascii="Arial" w:hAnsi="Arial"/>
          <w:b/>
          <w:i w:val="0"/>
          <w:color w:val="000000"/>
          <w:sz w:val="24"/>
        </w:rPr>
        <w:t>Guarantee remedy</w:t>
      </w:r>
    </w:p>
    <w:p>
      <w:pPr>
        <w:spacing w:before="0" w:after="80" w:line="259" w:lineRule="auto"/>
      </w:pPr>
      <w:r>
        <w:rPr>
          <w:rFonts w:ascii="Cambria" w:hAnsi="Cambria"/>
          <w:b w:val="0"/>
          <w:i w:val="0"/>
          <w:color w:val="242A2F"/>
          <w:sz w:val="20"/>
        </w:rPr>
        <w:t>This remedy applies only when the selected package is Discovery &amp; Intake, Growth, or Competitive Growth and Schedule A is completed and signed before go-live. It does not apply to Market Ownership or Executive. If the original days 71–100 window does not meet the signed target within the signed spend cap, Provider will continue only the covered acquisition and optimization work identified in the fee allocation and Schedule A, with that allocated service fee waived, until the target is reached in a subsequent rolling 30-live-campaign-day window. For Discovery &amp; Intake, covered work is limited to the agreed search and intake scope; paid campaign management begins with Growth.</w:t>
      </w:r>
    </w:p>
    <w:p>
      <w:pPr>
        <w:spacing w:before="0" w:after="80" w:line="259" w:lineRule="auto"/>
      </w:pPr>
      <w:r>
        <w:rPr>
          <w:rFonts w:ascii="Cambria" w:hAnsi="Cambria"/>
          <w:b w:val="0"/>
          <w:i w:val="0"/>
          <w:color w:val="242A2F"/>
          <w:sz w:val="20"/>
        </w:rPr>
        <w:t>Evaluate every subsequent 30-live-campaign-day window separately against the same signed whole-number target. Opportunity counts are not carried forward or added across windows. Each window uses the same qualification, duplicate, attribution, source-of-truth, and channel rules, and covered-media spend must be within the same signed cap. A window reaches the target only if it meets the target while within that cap.</w:t>
      </w:r>
    </w:p>
    <w:p>
      <w:pPr>
        <w:spacing w:before="0" w:after="80" w:line="259" w:lineRule="auto"/>
      </w:pPr>
      <w:r>
        <w:rPr>
          <w:rFonts w:ascii="Cambria" w:hAnsi="Cambria"/>
          <w:b w:val="0"/>
          <w:i w:val="0"/>
          <w:color w:val="242A2F"/>
          <w:sz w:val="20"/>
        </w:rPr>
        <w:t>During the initial fixed term, all other expressly included services continue at their allocated fees. If measurement or the no-fee remedy has not finished by the initial Term End date, only the measurement and covered no-fee work described above continue as needed until the target is reached. Other paid services end with the initial term unless the parties expressly renew them in writing. The guarantee continuation does not create new scope or automatically renew paid services.</w:t>
      </w:r>
    </w:p>
    <w:p>
      <w:pPr>
        <w:pStyle w:val="Heading1"/>
        <w:keepNext/>
      </w:pPr>
      <w:r>
        <w:rPr>
          <w:rFonts w:ascii="Arial" w:hAnsi="Arial"/>
          <w:b/>
          <w:i w:val="0"/>
          <w:color w:val="000000"/>
          <w:sz w:val="24"/>
        </w:rPr>
        <w:t>No automatic renewal</w:t>
      </w:r>
    </w:p>
    <w:p>
      <w:pPr>
        <w:spacing w:before="0" w:after="40" w:line="259" w:lineRule="auto"/>
      </w:pPr>
      <w:r>
        <w:rPr>
          <w:rFonts w:ascii="Cambria" w:hAnsi="Cambria"/>
          <w:b w:val="0"/>
          <w:i w:val="0"/>
          <w:color w:val="242A2F"/>
          <w:sz w:val="20"/>
        </w:rPr>
        <w:t>This Agreement does not renew automatically. At the end of the initial term, the parties may expressly agree in writing to month-to-month service, which either party may end on 30 days' written notice, or to a new fixed term based on the parties' business and growth standing. The written agreement must state the new scope and fees. No initial-term discount carries forward unless the new writing expressly provides it.</w:t>
      </w:r>
    </w:p>
    <w:p>
      <w:pPr>
        <w:pStyle w:val="Title"/>
        <w:keepNext/>
        <w:pageBreakBefore/>
      </w:pPr>
      <w:r>
        <w:rPr>
          <w:rFonts w:ascii="Cambria" w:hAnsi="Cambria"/>
          <w:b/>
          <w:i w:val="0"/>
          <w:color w:val="000000"/>
          <w:sz w:val="39"/>
        </w:rPr>
        <w:t>Handover and signatures</w:t>
      </w:r>
    </w:p>
    <w:p>
      <w:pPr>
        <w:spacing w:before="0" w:after="140" w:line="259" w:lineRule="auto"/>
      </w:pPr>
      <w:r>
        <w:rPr>
          <w:rFonts w:ascii="Cambria" w:hAnsi="Cambria"/>
          <w:b/>
          <w:i w:val="0"/>
          <w:color w:val="000000"/>
          <w:sz w:val="20"/>
        </w:rPr>
        <w:t>Final Details and Agreement Execution</w:t>
      </w:r>
    </w:p>
    <w:p>
      <w:pPr>
        <w:pStyle w:val="Heading1"/>
        <w:keepNext/>
      </w:pPr>
      <w:r>
        <w:rPr>
          <w:rFonts w:ascii="Arial" w:hAnsi="Arial"/>
          <w:b/>
          <w:i w:val="0"/>
          <w:color w:val="000000"/>
          <w:sz w:val="24"/>
        </w:rPr>
        <w:t>Data and work handover</w:t>
      </w:r>
    </w:p>
    <w:p>
      <w:pPr>
        <w:spacing w:before="0" w:after="100" w:line="259" w:lineRule="auto"/>
      </w:pPr>
      <w:r>
        <w:rPr>
          <w:rFonts w:ascii="Cambria" w:hAnsi="Cambria"/>
          <w:b w:val="0"/>
          <w:i w:val="0"/>
          <w:color w:val="242A2F"/>
          <w:sz w:val="20"/>
        </w:rPr>
        <w:t>At the end of paid services, Provider prepares the listed client data, reports, and work files for the Client contact in the agreed format and through the agreed delivery method. Client may revoke Provider's access when transition is complete.</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2664"/>
        <w:gridCol w:w="7387"/>
      </w:tblGrid>
      <w:tr>
        <w:trPr>
          <w:cantSplit/>
        </w:trPr>
        <w:tc>
          <w:tcPr>
            <w:tcW w:type="dxa" w:w="2664"/>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Items to hand over</w:t>
            </w:r>
          </w:p>
        </w:tc>
        <w:tc>
          <w:tcPr>
            <w:tcW w:type="dxa" w:w="738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[Data exports, reports, creative files, and account/access map]</w:t>
            </w:r>
          </w:p>
        </w:tc>
      </w:tr>
      <w:tr>
        <w:trPr>
          <w:cantSplit/>
        </w:trPr>
        <w:tc>
          <w:tcPr>
            <w:tcW w:type="dxa" w:w="2664"/>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Format and delivery</w:t>
            </w:r>
          </w:p>
        </w:tc>
        <w:tc>
          <w:tcPr>
            <w:tcW w:type="dxa" w:w="738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[File format and secure delivery method]</w:t>
            </w:r>
          </w:p>
        </w:tc>
      </w:tr>
      <w:tr>
        <w:trPr>
          <w:cantSplit/>
        </w:trPr>
        <w:tc>
          <w:tcPr>
            <w:tcW w:type="dxa" w:w="2664"/>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Client recipient</w:t>
            </w:r>
          </w:p>
        </w:tc>
        <w:tc>
          <w:tcPr>
            <w:tcW w:type="dxa" w:w="738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[Name and email]</w:t>
            </w:r>
          </w:p>
        </w:tc>
      </w:tr>
      <w:tr>
        <w:trPr>
          <w:cantSplit/>
        </w:trPr>
        <w:tc>
          <w:tcPr>
            <w:tcW w:type="dxa" w:w="2664"/>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56636E"/>
                <w:sz w:val="19"/>
              </w:rPr>
              <w:t>Handover date</w:t>
            </w:r>
          </w:p>
        </w:tc>
        <w:tc>
          <w:tcPr>
            <w:tcW w:type="dxa" w:w="738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[Agreed actual date]</w:t>
            </w:r>
          </w:p>
        </w:tc>
      </w:tr>
    </w:tbl>
    <w:p>
      <w:pPr>
        <w:pStyle w:val="Heading1"/>
        <w:keepNext/>
      </w:pPr>
      <w:r>
        <w:rPr>
          <w:rFonts w:ascii="Arial" w:hAnsi="Arial"/>
          <w:b/>
          <w:i w:val="0"/>
          <w:color w:val="000000"/>
          <w:sz w:val="24"/>
        </w:rPr>
        <w:t>Electronic agreement and signature</w:t>
      </w:r>
    </w:p>
    <w:p>
      <w:pPr>
        <w:spacing w:before="0" w:after="140" w:line="259" w:lineRule="auto"/>
      </w:pPr>
      <w:r>
        <w:rPr>
          <w:rFonts w:ascii="Cambria" w:hAnsi="Cambria"/>
          <w:b w:val="0"/>
          <w:i w:val="0"/>
          <w:color w:val="242A2F"/>
          <w:sz w:val="20"/>
        </w:rPr>
        <w:t>The parties agree to conduct this transaction by electronic means. A signature placed electronically with intent to sign may be used to sign this Agreement. Each party should retain a complete, accessible copy of the signed Agreement and its completed schedules.</w:t>
      </w:r>
    </w:p>
    <w:p>
      <w:pPr>
        <w:pStyle w:val="Heading1"/>
        <w:keepNext/>
      </w:pPr>
      <w:r>
        <w:rPr>
          <w:rFonts w:ascii="Arial" w:hAnsi="Arial"/>
          <w:b/>
          <w:i w:val="0"/>
          <w:color w:val="000000"/>
          <w:sz w:val="24"/>
        </w:rPr>
        <w:t>Agreement execution</w:t>
      </w:r>
    </w:p>
    <w:p>
      <w:pPr>
        <w:spacing w:before="0" w:after="160" w:line="259" w:lineRule="auto"/>
      </w:pPr>
      <w:r>
        <w:rPr>
          <w:rFonts w:ascii="Cambria" w:hAnsi="Cambria"/>
          <w:b w:val="0"/>
          <w:i w:val="0"/>
          <w:color w:val="242A2F"/>
          <w:sz w:val="20"/>
        </w:rPr>
        <w:t>By signing, each signer represents that they are authorized to sign for the party shown. The Agreement includes this main schedule and the completed Schedule A. Before signature, confirm the selected package, actual term dates, monthly invoice timing and due date, fee allocations, and all Schedule A entries.</w:t>
      </w:r>
    </w:p>
    <w:tbl>
      <w:tblPr>
        <w:tblW w:type="auto" w:w="0"/>
        <w:jc w:val="center"/>
        <w:tblLayout w:type="fixed"/>
        <w:tblLook w:firstColumn="1" w:firstRow="1" w:lastColumn="0" w:lastRow="0" w:noHBand="0" w:noVBand="1" w:val="04A0"/>
        <w:tblBorders>
          <w:top w:val="single" w:sz="5" w:space="0" w:color="C9D4DC"/>
          <w:left w:val="single" w:sz="5" w:space="0" w:color="C9D4DC"/>
          <w:bottom w:val="single" w:sz="5" w:space="0" w:color="C9D4DC"/>
          <w:right w:val="single" w:sz="5" w:space="0" w:color="C9D4DC"/>
          <w:insideH w:val="single" w:sz="5" w:space="0" w:color="C9D4DC"/>
          <w:insideV w:val="single" w:sz="5" w:space="0" w:color="C9D4DC"/>
        </w:tblBorders>
      </w:tblPr>
      <w:tblGrid>
        <w:gridCol w:w="2045"/>
        <w:gridCol w:w="3384"/>
        <w:gridCol w:w="2995"/>
        <w:gridCol w:w="1627"/>
      </w:tblGrid>
      <w:tr>
        <w:trPr>
          <w:cantSplit/>
          <w:tblHeader w:val="true"/>
        </w:trPr>
        <w:tc>
          <w:tcPr>
            <w:tcW w:type="dxa" w:w="2045"/>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Party</w:t>
            </w:r>
          </w:p>
        </w:tc>
        <w:tc>
          <w:tcPr>
            <w:tcW w:type="dxa" w:w="3384"/>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Signature</w:t>
            </w:r>
          </w:p>
        </w:tc>
        <w:tc>
          <w:tcPr>
            <w:tcW w:type="dxa" w:w="2995"/>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Printed name and title</w:t>
            </w:r>
          </w:p>
        </w:tc>
        <w:tc>
          <w:tcPr>
            <w:tcW w:type="dxa" w:w="1627"/>
            <w:tcMar>
              <w:top w:w="85" w:type="dxa"/>
              <w:start w:w="100" w:type="dxa"/>
              <w:bottom w:w="85" w:type="dxa"/>
              <w:end w:w="100" w:type="dxa"/>
            </w:tcMar>
            <w:vAlign w:val="center"/>
            <w:shd w:fill="18364D" w:val="clear"/>
          </w:tcPr>
          <w:p>
            <w:pPr>
              <w:spacing w:before="0" w:after="0" w:line="250" w:lineRule="auto"/>
            </w:pPr>
            <w:r/>
            <w:r>
              <w:rPr>
                <w:rFonts w:ascii="Cambria" w:hAnsi="Cambria"/>
                <w:b/>
                <w:i w:val="0"/>
                <w:color w:val="FFFFFF"/>
                <w:sz w:val="19"/>
              </w:rPr>
              <w:t>Date</w:t>
            </w:r>
          </w:p>
        </w:tc>
      </w:tr>
      <w:tr>
        <w:trPr>
          <w:cantSplit/>
        </w:trPr>
        <w:tc>
          <w:tcPr>
            <w:tcW w:type="dxa" w:w="2045"/>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18364D"/>
                <w:sz w:val="19"/>
              </w:rPr>
              <w:t>Client</w:t>
            </w:r>
          </w:p>
        </w:tc>
        <w:tc>
          <w:tcPr>
            <w:tcW w:type="dxa" w:w="3384"/>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________________________________</w:t>
            </w:r>
          </w:p>
        </w:tc>
        <w:tc>
          <w:tcPr>
            <w:tcW w:type="dxa" w:w="2995"/>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[Print name and title]</w:t>
            </w:r>
          </w:p>
        </w:tc>
        <w:tc>
          <w:tcPr>
            <w:tcW w:type="dxa" w:w="162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date]</w:t>
            </w:r>
          </w:p>
        </w:tc>
      </w:tr>
      <w:tr>
        <w:trPr>
          <w:cantSplit/>
        </w:trPr>
        <w:tc>
          <w:tcPr>
            <w:tcW w:type="dxa" w:w="2045"/>
            <w:tcMar>
              <w:top w:w="85" w:type="dxa"/>
              <w:start w:w="100" w:type="dxa"/>
              <w:bottom w:w="85" w:type="dxa"/>
              <w:end w:w="100" w:type="dxa"/>
            </w:tcMar>
            <w:vAlign w:val="center"/>
            <w:shd w:fill="F3F6F8" w:val="clear"/>
          </w:tcPr>
          <w:p>
            <w:pPr>
              <w:spacing w:before="0" w:after="0" w:line="250" w:lineRule="auto"/>
            </w:pPr>
            <w:r/>
            <w:r>
              <w:rPr>
                <w:rFonts w:ascii="Cambria" w:hAnsi="Cambria"/>
                <w:b/>
                <w:i w:val="0"/>
                <w:color w:val="18364D"/>
                <w:sz w:val="19"/>
              </w:rPr>
              <w:t>Provider</w:t>
            </w:r>
          </w:p>
        </w:tc>
        <w:tc>
          <w:tcPr>
            <w:tcW w:type="dxa" w:w="3384"/>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________________________________</w:t>
            </w:r>
          </w:p>
        </w:tc>
        <w:tc>
          <w:tcPr>
            <w:tcW w:type="dxa" w:w="2995"/>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[Print name and title]</w:t>
            </w:r>
          </w:p>
        </w:tc>
        <w:tc>
          <w:tcPr>
            <w:tcW w:type="dxa" w:w="1627"/>
            <w:tcMar>
              <w:top w:w="85" w:type="dxa"/>
              <w:start w:w="100" w:type="dxa"/>
              <w:bottom w:w="85" w:type="dxa"/>
              <w:end w:w="100" w:type="dxa"/>
            </w:tcMar>
            <w:vAlign w:val="center"/>
            <w:shd w:fill="FBF8EF" w:val="clear"/>
          </w:tcPr>
          <w:p>
            <w:pPr>
              <w:spacing w:before="0" w:after="0" w:line="250" w:lineRule="auto"/>
            </w:pPr>
            <w:r/>
            <w:r>
              <w:rPr>
                <w:rFonts w:ascii="Cambria" w:hAnsi="Cambria"/>
                <w:b w:val="0"/>
                <w:i w:val="0"/>
                <w:color w:val="242A2F"/>
                <w:sz w:val="19"/>
              </w:rPr>
              <w:t>[Enter date]</w:t>
            </w:r>
          </w:p>
        </w:tc>
      </w:tr>
    </w:tbl>
    <w:p>
      <w:pPr>
        <w:spacing w:before="160" w:after="20" w:line="259" w:lineRule="auto"/>
      </w:pPr>
      <w:r>
        <w:rPr>
          <w:rFonts w:ascii="Cambria" w:hAnsi="Cambria"/>
          <w:b w:val="0"/>
          <w:i w:val="0"/>
          <w:color w:val="56636E"/>
          <w:sz w:val="19"/>
        </w:rPr>
        <w:t>Provider: [Provider legal name] trading as Strata Modus. Client: the legal person or entity identified on page 1.</w:t>
      </w:r>
    </w:p>
    <w:sectPr w:rsidR="00FC693F" w:rsidRPr="0006063C" w:rsidSect="00034616">
      <w:headerReference w:type="default" r:id="rId9"/>
      <w:footerReference w:type="default" r:id="rId10"/>
      <w:pgSz w:w="12240" w:h="15840"/>
      <w:pgMar w:top="907" w:right="1094" w:bottom="950" w:left="1094" w:header="360" w:footer="38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right"/>
    </w:pPr>
    <w:r>
      <w:rPr>
        <w:rFonts w:ascii="Arial" w:hAnsi="Arial"/>
        <w:b/>
        <w:i w:val="0"/>
        <w:color w:val="56636E"/>
        <w:sz w:val="16"/>
      </w:rPr>
      <w:t xml:space="preserve">STRATA MODUS  •  </w:t>
    </w:r>
    <w:r>
      <w:rPr>
        <w:rFonts w:ascii="Arial" w:hAnsi="Arial"/>
        <w:b w:val="0"/>
        <w:i w:val="0"/>
        <w:color w:val="56636E"/>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rial" w:hAnsi="Arial"/>
        <w:b/>
        <w:i w:val="0"/>
        <w:color w:val="000000"/>
        <w:sz w:val="16"/>
      </w:rPr>
      <w:t>STRATA MODUS  |  CLIENT SERVICES AGREEMENT  |  12-MONTH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59" w:lineRule="auto"/>
    </w:pPr>
    <w:rPr>
      <w:rFonts w:ascii="Cambria" w:hAnsi="Cambria"/>
      <w:color w:val="242A2F"/>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00" w:after="5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before="0"/>
      <w:contextualSpacing/>
    </w:pPr>
    <w:rPr>
      <w:rFonts w:asciiTheme="majorHAnsi" w:eastAsiaTheme="majorEastAsia" w:hAnsiTheme="majorHAnsi" w:cstheme="majorBidi" w:ascii="Cambria" w:hAnsi="Cambria"/>
      <w:b/>
      <w:color w:val="000000"/>
      <w:spacing w:val="5"/>
      <w:kern w:val="28"/>
      <w:sz w:val="39"/>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